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323"/>
        <w:gridCol w:w="3613"/>
        <w:gridCol w:w="3221"/>
        <w:gridCol w:w="216"/>
        <w:gridCol w:w="1366"/>
        <w:gridCol w:w="2651"/>
      </w:tblGrid>
      <w:tr w:rsidR="0036007A" w:rsidRPr="00402ADF" w14:paraId="23A6891A" w14:textId="77777777" w:rsidTr="00F665C1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F665C1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F665C1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9A59B4" w:rsidRPr="005C76BB" w14:paraId="3416D3F4" w14:textId="77777777" w:rsidTr="00C635A2">
        <w:trPr>
          <w:trHeight w:val="417"/>
        </w:trPr>
        <w:tc>
          <w:tcPr>
            <w:tcW w:w="10125" w:type="dxa"/>
            <w:gridSpan w:val="4"/>
          </w:tcPr>
          <w:p w14:paraId="470C6C68" w14:textId="13D61358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A47A0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47A0C" w:rsidRPr="00A67E71">
              <w:rPr>
                <w:rFonts w:ascii="Century Gothic" w:hAnsi="Century Gothic"/>
                <w:b/>
                <w:sz w:val="24"/>
                <w:szCs w:val="24"/>
              </w:rPr>
              <w:t xml:space="preserve">Dolphin Bay Elementary </w:t>
            </w:r>
          </w:p>
        </w:tc>
        <w:tc>
          <w:tcPr>
            <w:tcW w:w="4265" w:type="dxa"/>
            <w:gridSpan w:val="2"/>
          </w:tcPr>
          <w:p w14:paraId="42A7A2A1" w14:textId="735C79B0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A47A0C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9A59B4" w:rsidRPr="005C76BB" w14:paraId="5121644A" w14:textId="77777777" w:rsidTr="00C635A2">
        <w:trPr>
          <w:trHeight w:val="417"/>
        </w:trPr>
        <w:tc>
          <w:tcPr>
            <w:tcW w:w="10125" w:type="dxa"/>
            <w:gridSpan w:val="4"/>
          </w:tcPr>
          <w:p w14:paraId="4E473C07" w14:textId="6D8ADF1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A47A0C">
              <w:rPr>
                <w:rFonts w:ascii="Century Gothic" w:hAnsi="Century Gothic"/>
                <w:b/>
                <w:sz w:val="24"/>
                <w:szCs w:val="24"/>
              </w:rPr>
              <w:t xml:space="preserve"> Sandra Nelson </w:t>
            </w:r>
          </w:p>
        </w:tc>
        <w:tc>
          <w:tcPr>
            <w:tcW w:w="4265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F665C1">
        <w:tc>
          <w:tcPr>
            <w:tcW w:w="14390" w:type="dxa"/>
            <w:gridSpan w:val="6"/>
          </w:tcPr>
          <w:p w14:paraId="71115BA3" w14:textId="5CD88AB0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A47A0C">
              <w:rPr>
                <w:rFonts w:ascii="Century Gothic" w:hAnsi="Century Gothic"/>
                <w:b/>
                <w:sz w:val="24"/>
                <w:szCs w:val="24"/>
              </w:rPr>
              <w:t xml:space="preserve"> Mr. </w:t>
            </w:r>
            <w:proofErr w:type="spellStart"/>
            <w:r w:rsidR="00A47A0C">
              <w:rPr>
                <w:rFonts w:ascii="Century Gothic" w:hAnsi="Century Gothic"/>
                <w:b/>
                <w:sz w:val="24"/>
                <w:szCs w:val="24"/>
              </w:rPr>
              <w:t>Lazano</w:t>
            </w:r>
            <w:proofErr w:type="spellEnd"/>
            <w:r w:rsidR="00A47A0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36007A" w:rsidRPr="005C76BB" w14:paraId="1587C81D" w14:textId="77777777" w:rsidTr="00F665C1">
        <w:tc>
          <w:tcPr>
            <w:tcW w:w="14390" w:type="dxa"/>
            <w:gridSpan w:val="6"/>
          </w:tcPr>
          <w:p w14:paraId="49C13E81" w14:textId="47E182FE" w:rsidR="0036007A" w:rsidRPr="00A67E71" w:rsidRDefault="00332408" w:rsidP="00FC05D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A67E7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67E71" w:rsidRPr="00A67E71">
              <w:rPr>
                <w:rFonts w:ascii="Century Gothic" w:hAnsi="Century Gothic"/>
                <w:b/>
                <w:sz w:val="24"/>
                <w:szCs w:val="24"/>
              </w:rPr>
              <w:t>Our staff at Dolphin Bay Elementary will provide a quality education to all students in a secure learning environment with the collaboration of parents and the community.</w:t>
            </w:r>
          </w:p>
        </w:tc>
      </w:tr>
      <w:tr w:rsidR="00332408" w:rsidRPr="005C76BB" w14:paraId="35F32D34" w14:textId="77777777" w:rsidTr="00F665C1">
        <w:tc>
          <w:tcPr>
            <w:tcW w:w="14390" w:type="dxa"/>
            <w:gridSpan w:val="6"/>
          </w:tcPr>
          <w:p w14:paraId="6DB0E2A1" w14:textId="6F0E7AE4" w:rsidR="00332408" w:rsidRPr="00A67E71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A67E71" w:rsidRPr="00BB2031">
              <w:rPr>
                <w:rFonts w:ascii="Century Gothic" w:hAnsi="Century Gothic"/>
                <w:b/>
                <w:sz w:val="24"/>
                <w:szCs w:val="24"/>
              </w:rPr>
              <w:t>All children will achieve excellence in education in a safe, caring environment.</w:t>
            </w:r>
          </w:p>
        </w:tc>
      </w:tr>
      <w:tr w:rsidR="0036007A" w:rsidRPr="00AA52FA" w14:paraId="0D6EE678" w14:textId="77777777" w:rsidTr="00F665C1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6CC427BE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28410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87F6E">
              <w:rPr>
                <w:rFonts w:ascii="Century Gothic" w:hAnsi="Century Gothic"/>
                <w:b/>
                <w:sz w:val="24"/>
                <w:szCs w:val="24"/>
              </w:rPr>
              <w:t>Canarissa Elliott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SEL Liaison</w:t>
            </w:r>
            <w:r w:rsidR="00CC6AC0">
              <w:rPr>
                <w:rFonts w:ascii="Century Gothic" w:hAnsi="Century Gothic"/>
                <w:b/>
                <w:sz w:val="24"/>
                <w:szCs w:val="24"/>
              </w:rPr>
              <w:t>/School Counselor</w:t>
            </w:r>
          </w:p>
        </w:tc>
      </w:tr>
      <w:tr w:rsidR="0036007A" w:rsidRPr="005C76BB" w14:paraId="3E902354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599287A1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284103">
              <w:rPr>
                <w:rFonts w:ascii="Century Gothic" w:hAnsi="Century Gothic"/>
                <w:b/>
                <w:sz w:val="24"/>
                <w:szCs w:val="24"/>
              </w:rPr>
              <w:t xml:space="preserve"> Christina </w:t>
            </w:r>
            <w:proofErr w:type="spellStart"/>
            <w:r w:rsidR="00284103">
              <w:rPr>
                <w:rFonts w:ascii="Century Gothic" w:hAnsi="Century Gothic"/>
                <w:b/>
                <w:sz w:val="24"/>
                <w:szCs w:val="24"/>
              </w:rPr>
              <w:t>Death</w:t>
            </w:r>
            <w:r w:rsidR="00465F6D">
              <w:rPr>
                <w:rFonts w:ascii="Century Gothic" w:hAnsi="Century Gothic"/>
                <w:b/>
                <w:sz w:val="24"/>
                <w:szCs w:val="24"/>
              </w:rPr>
              <w:t>erage</w:t>
            </w:r>
            <w:proofErr w:type="spellEnd"/>
            <w:r w:rsidR="00465F6D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CC6AC0">
              <w:rPr>
                <w:rFonts w:ascii="Century Gothic" w:hAnsi="Century Gothic"/>
                <w:b/>
                <w:sz w:val="24"/>
                <w:szCs w:val="24"/>
              </w:rPr>
              <w:t xml:space="preserve">            </w:t>
            </w:r>
            <w:r w:rsidR="00465F6D">
              <w:rPr>
                <w:rFonts w:ascii="Century Gothic" w:hAnsi="Century Gothic"/>
                <w:b/>
                <w:sz w:val="24"/>
                <w:szCs w:val="24"/>
              </w:rPr>
              <w:t xml:space="preserve"> Assistant Principal</w:t>
            </w:r>
          </w:p>
        </w:tc>
      </w:tr>
      <w:tr w:rsidR="0036007A" w:rsidRPr="005C76BB" w14:paraId="61E9097C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773F2DB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284103">
              <w:rPr>
                <w:rFonts w:ascii="Century Gothic" w:hAnsi="Century Gothic"/>
                <w:b/>
                <w:sz w:val="24"/>
                <w:szCs w:val="24"/>
              </w:rPr>
              <w:t xml:space="preserve"> April </w:t>
            </w:r>
            <w:proofErr w:type="spellStart"/>
            <w:r w:rsidR="00CC6AC0">
              <w:rPr>
                <w:rFonts w:ascii="Century Gothic" w:hAnsi="Century Gothic"/>
                <w:b/>
                <w:sz w:val="24"/>
                <w:szCs w:val="24"/>
              </w:rPr>
              <w:t>Whyche</w:t>
            </w:r>
            <w:proofErr w:type="spellEnd"/>
            <w:r w:rsidR="00CC6AC0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ESE Specialist</w:t>
            </w:r>
          </w:p>
        </w:tc>
      </w:tr>
      <w:tr w:rsidR="0036007A" w:rsidRPr="005C76BB" w14:paraId="457BFB41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2D0C8D3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284103">
              <w:rPr>
                <w:rFonts w:ascii="Century Gothic" w:hAnsi="Century Gothic"/>
                <w:b/>
                <w:sz w:val="24"/>
                <w:szCs w:val="24"/>
              </w:rPr>
              <w:t xml:space="preserve"> Thomas</w:t>
            </w:r>
            <w:r w:rsidR="00CC6AC0">
              <w:rPr>
                <w:rFonts w:ascii="Century Gothic" w:hAnsi="Century Gothic"/>
                <w:b/>
                <w:sz w:val="24"/>
                <w:szCs w:val="24"/>
              </w:rPr>
              <w:t xml:space="preserve"> Dusch                                                                                                                                       Curriculum Facilitator</w:t>
            </w:r>
          </w:p>
        </w:tc>
      </w:tr>
      <w:tr w:rsidR="00C35246" w:rsidRPr="005C76BB" w14:paraId="247A998E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54538CAC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284103">
              <w:rPr>
                <w:rFonts w:ascii="Century Gothic" w:hAnsi="Century Gothic"/>
                <w:b/>
                <w:sz w:val="24"/>
                <w:szCs w:val="24"/>
              </w:rPr>
              <w:t>Barbra</w:t>
            </w:r>
            <w:r w:rsidR="00CC6AC0">
              <w:rPr>
                <w:rFonts w:ascii="Century Gothic" w:hAnsi="Century Gothic"/>
                <w:b/>
                <w:sz w:val="24"/>
                <w:szCs w:val="24"/>
              </w:rPr>
              <w:t xml:space="preserve"> Wells                                                                                                                                            Literacy Coach/ESOL</w:t>
            </w:r>
          </w:p>
        </w:tc>
      </w:tr>
      <w:tr w:rsidR="00B36D69" w:rsidRPr="005C76BB" w14:paraId="0A6A861B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75892763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73859EC" w14:textId="77777777" w:rsidR="00A67E71" w:rsidRDefault="00A67E71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CF7F546" w14:textId="77777777" w:rsidR="00A67E71" w:rsidRDefault="00A67E71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793C146" w14:textId="07DE79EC" w:rsidR="00A67E71" w:rsidRDefault="00A67E71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F665C1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lastRenderedPageBreak/>
              <w:t>School Wide SEL Implementation</w:t>
            </w:r>
          </w:p>
        </w:tc>
      </w:tr>
      <w:tr w:rsidR="00F25107" w:rsidRPr="0042332E" w14:paraId="396DF5E1" w14:textId="77777777" w:rsidTr="00F665C1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F665C1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5164E2E0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284103">
              <w:rPr>
                <w:rFonts w:ascii="Century Gothic" w:hAnsi="Century Gothic"/>
                <w:b/>
                <w:sz w:val="24"/>
              </w:rPr>
              <w:t xml:space="preserve"> Mindfulness Monday</w:t>
            </w:r>
          </w:p>
          <w:p w14:paraId="3267E130" w14:textId="6B75DEB2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5D2F70">
              <w:rPr>
                <w:rFonts w:ascii="Century Gothic" w:hAnsi="Century Gothic"/>
                <w:b/>
                <w:sz w:val="24"/>
              </w:rPr>
              <w:t xml:space="preserve"> </w:t>
            </w:r>
            <w:r w:rsidR="00063163">
              <w:rPr>
                <w:rFonts w:ascii="Century Gothic" w:hAnsi="Century Gothic"/>
                <w:b/>
                <w:sz w:val="24"/>
              </w:rPr>
              <w:t xml:space="preserve">Kids of Character </w:t>
            </w:r>
          </w:p>
          <w:p w14:paraId="0EBC7CD2" w14:textId="6D3D8D39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1A463A">
              <w:rPr>
                <w:rFonts w:ascii="Century Gothic" w:hAnsi="Century Gothic"/>
                <w:b/>
                <w:sz w:val="24"/>
              </w:rPr>
              <w:t xml:space="preserve"> Sanford Harmony </w:t>
            </w:r>
          </w:p>
          <w:p w14:paraId="48B92E00" w14:textId="5622BD65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1A463A">
              <w:rPr>
                <w:rFonts w:ascii="Century Gothic" w:hAnsi="Century Gothic"/>
                <w:b/>
                <w:sz w:val="24"/>
              </w:rPr>
              <w:t xml:space="preserve"> Caring Club</w:t>
            </w:r>
            <w:r w:rsidR="00857F74">
              <w:rPr>
                <w:rFonts w:ascii="Century Gothic" w:hAnsi="Century Gothic"/>
                <w:b/>
                <w:sz w:val="24"/>
              </w:rPr>
              <w:t xml:space="preserve"> Mentoring Program </w:t>
            </w:r>
          </w:p>
          <w:p w14:paraId="6C4C3DAD" w14:textId="0C17A2BF" w:rsidR="001A463A" w:rsidRDefault="001A463A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5. Book Buddies</w:t>
            </w:r>
          </w:p>
          <w:p w14:paraId="01CB2320" w14:textId="22EA99F1" w:rsidR="001A463A" w:rsidRDefault="001A463A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6. Dolphin Friends</w:t>
            </w:r>
          </w:p>
          <w:p w14:paraId="1D20759D" w14:textId="788DDE7F" w:rsidR="001A463A" w:rsidRDefault="001A463A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7. Courage to Care</w:t>
            </w:r>
          </w:p>
          <w:p w14:paraId="5ADBB98D" w14:textId="37ACE508" w:rsidR="002B27C5" w:rsidRPr="002B27C5" w:rsidRDefault="001A463A" w:rsidP="00BB2031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8. Golden Spatula </w:t>
            </w:r>
          </w:p>
        </w:tc>
      </w:tr>
      <w:tr w:rsidR="00B36D69" w:rsidRPr="0042332E" w14:paraId="57B7DC96" w14:textId="77777777" w:rsidTr="00F665C1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F665C1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F665C1">
        <w:tc>
          <w:tcPr>
            <w:tcW w:w="14390" w:type="dxa"/>
            <w:gridSpan w:val="6"/>
            <w:shd w:val="clear" w:color="auto" w:fill="E7E6E6" w:themeFill="background2"/>
          </w:tcPr>
          <w:p w14:paraId="3958B707" w14:textId="77777777" w:rsidR="00BB2031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</w:p>
          <w:p w14:paraId="637736E9" w14:textId="7EDB2CF5" w:rsidR="00CC085F" w:rsidRPr="00462C0F" w:rsidRDefault="00A67E71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F665C1">
              <w:rPr>
                <w:rFonts w:ascii="Century Gothic" w:hAnsi="Century Gothic"/>
                <w:b/>
                <w:sz w:val="24"/>
              </w:rPr>
              <w:t xml:space="preserve">Dolphin Bay explicitly integrates standards </w:t>
            </w:r>
            <w:r w:rsidR="00F665C1" w:rsidRPr="00F665C1">
              <w:rPr>
                <w:rFonts w:ascii="Century Gothic" w:hAnsi="Century Gothic"/>
                <w:b/>
                <w:sz w:val="24"/>
              </w:rPr>
              <w:t xml:space="preserve">through data driven school wide, group, and individual initiatives to ensure students are developing social and emotional skills.  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F665C1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19FEAA4" w14:textId="62CC56E5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A463A">
                    <w:rPr>
                      <w:rFonts w:ascii="Century Gothic" w:hAnsi="Century Gothic"/>
                      <w:b/>
                      <w:sz w:val="24"/>
                    </w:rPr>
                    <w:t xml:space="preserve"> Mindfulness Monday activities school wide on morning announcements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, Sanford Harmony classroom lessons, Golden Spatula awards </w:t>
                  </w: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08D7935" w14:textId="70ECB069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Mindfulness Monday activities school wide on morning announcements, Sanford Harmony classroom lessons</w:t>
                  </w: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E828BBE" w14:textId="4C302D49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A463A">
                    <w:rPr>
                      <w:rFonts w:ascii="Century Gothic" w:hAnsi="Century Gothic"/>
                      <w:b/>
                      <w:sz w:val="24"/>
                    </w:rPr>
                    <w:t xml:space="preserve"> Publicly recognize and reward individual students and classes on the morning announcements who demonstrate skills related to achieving personal and academic goals </w:t>
                  </w: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284103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7F862B6" w14:textId="14A1D189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1A463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>Recognize and reward feelings and perspectives of others in Caring Club, Book Buddies, and Dolphin Friends</w:t>
                  </w:r>
                  <w:r w:rsidR="00767DD3">
                    <w:rPr>
                      <w:rFonts w:ascii="Century Gothic" w:hAnsi="Century Gothic"/>
                      <w:b/>
                      <w:sz w:val="24"/>
                    </w:rPr>
                    <w:t xml:space="preserve">.  Dolphin Bay Elementary School participates in Sanford Harmony activities such as Morning Meetings, Class Discussion, Buddy Up Cards each day.  </w:t>
                  </w: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45D0A7A" w14:textId="668E6134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Recognize and reward individual and group similarities and differences in Caring Club, Book Buddies, Dolphin Friends, and through Sanford Harmony’s Diversity and Inclusion classroom lessons </w:t>
                  </w: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4F8BA95" w14:textId="04FA2E04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Promote communication and social skills to interact effectively with others in Caring Club, Book Buddies, Dolphin Friends, and through Sanford Harmony’s Diversity and Inclusion classroom lessons </w:t>
                  </w: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3E0F54E" w14:textId="39B3C01F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Demonstrate an ability to prevent, manage, and resolve interpersonal conflicts in constructive ways through Mindfulness Monday activities school wide on morning announcements, Caring Club, and Sanford Harmony classroom lessons</w:t>
                  </w: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4611C82" w14:textId="788E9394" w:rsidR="00C35246" w:rsidRPr="00A47A0C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Consider ethical, safety, and societal factors in making decisions in Caring Club, and Sanford Harmony classroom lessons</w:t>
                  </w: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DA190B2" w14:textId="57E4E8EB" w:rsidR="00C35246" w:rsidRPr="00A47A0C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Apply decision making skills to deal responsibility with daily academic and social situations in Caring Club, Book Buddies, Dolphin Friends, and through Sanford Harmony’s classroom lessons. 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A2620D7" w14:textId="07D037C5" w:rsidR="00C35246" w:rsidRPr="00A47A0C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A47A0C">
                    <w:rPr>
                      <w:rFonts w:ascii="Century Gothic" w:hAnsi="Century Gothic"/>
                      <w:b/>
                      <w:sz w:val="24"/>
                    </w:rPr>
                    <w:t xml:space="preserve"> Contribute to the well-being of one’s school and community through in Caring Club, Book Buddies, Dolphin Friends, and through Sanford Harmony’s Diversity and Inclusion classroom lessons</w:t>
                  </w: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F665C1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14046724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  <w:r w:rsidR="00BB2031">
              <w:rPr>
                <w:rFonts w:ascii="Century Gothic" w:hAnsi="Century Gothic"/>
                <w:b/>
                <w:sz w:val="24"/>
              </w:rPr>
              <w:t xml:space="preserve">Dolphin Bay Elementary supports the social emotional learning of students by embedding it into school wide initiatives, clubs, and activities.  </w:t>
            </w:r>
          </w:p>
        </w:tc>
      </w:tr>
      <w:tr w:rsidR="00AA52FA" w:rsidRPr="005C76BB" w14:paraId="1E796D42" w14:textId="77777777" w:rsidTr="00F665C1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427B9311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  <w:r w:rsidR="00C635A2" w:rsidRPr="00C635A2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67DD3" w:rsidRPr="005C76BB" w14:paraId="13EA002A" w14:textId="77777777" w:rsidTr="00C635A2">
        <w:trPr>
          <w:trHeight w:val="642"/>
        </w:trPr>
        <w:tc>
          <w:tcPr>
            <w:tcW w:w="3187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56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128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267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245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767DD3" w:rsidRPr="005C76BB" w14:paraId="08E76AE4" w14:textId="77777777" w:rsidTr="00C635A2">
        <w:tc>
          <w:tcPr>
            <w:tcW w:w="3187" w:type="dxa"/>
          </w:tcPr>
          <w:p w14:paraId="1315112B" w14:textId="13F4439F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Faculty Meeting 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563" w:type="dxa"/>
          </w:tcPr>
          <w:p w14:paraId="034F1B97" w14:textId="2019A52E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Christina </w:t>
            </w:r>
            <w:proofErr w:type="spellStart"/>
            <w:r>
              <w:rPr>
                <w:rFonts w:ascii="Century Gothic" w:hAnsi="Century Gothic"/>
                <w:sz w:val="24"/>
              </w:rPr>
              <w:t>Deatherage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128" w:type="dxa"/>
          </w:tcPr>
          <w:p w14:paraId="0CE22728" w14:textId="50A35A8F" w:rsidR="005C76BB" w:rsidRPr="005C76BB" w:rsidRDefault="00253C7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Brainshark</w:t>
            </w:r>
          </w:p>
        </w:tc>
        <w:tc>
          <w:tcPr>
            <w:tcW w:w="2267" w:type="dxa"/>
            <w:gridSpan w:val="2"/>
          </w:tcPr>
          <w:p w14:paraId="5B04DEF5" w14:textId="728858C2" w:rsidR="005C76BB" w:rsidRPr="005C76BB" w:rsidRDefault="00253C7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</w:t>
            </w:r>
          </w:p>
        </w:tc>
        <w:tc>
          <w:tcPr>
            <w:tcW w:w="2245" w:type="dxa"/>
          </w:tcPr>
          <w:p w14:paraId="64EA3B07" w14:textId="6982604A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District </w:t>
            </w:r>
            <w:r w:rsidR="00253C7A">
              <w:rPr>
                <w:rFonts w:ascii="Century Gothic" w:hAnsi="Century Gothic"/>
                <w:sz w:val="24"/>
              </w:rPr>
              <w:t>Pre-</w:t>
            </w:r>
            <w:r>
              <w:rPr>
                <w:rFonts w:ascii="Century Gothic" w:hAnsi="Century Gothic"/>
                <w:sz w:val="24"/>
              </w:rPr>
              <w:t>Planning Days</w:t>
            </w:r>
          </w:p>
        </w:tc>
      </w:tr>
      <w:tr w:rsidR="00AA52FA" w:rsidRPr="005C76BB" w14:paraId="1B940C08" w14:textId="77777777" w:rsidTr="00F665C1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767DD3" w:rsidRPr="005C76BB" w14:paraId="5DEE794F" w14:textId="77777777" w:rsidTr="00C635A2">
        <w:trPr>
          <w:trHeight w:val="642"/>
        </w:trPr>
        <w:tc>
          <w:tcPr>
            <w:tcW w:w="3187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56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128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267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245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767DD3" w:rsidRPr="005C76BB" w14:paraId="39DC539F" w14:textId="77777777" w:rsidTr="00C635A2">
        <w:tc>
          <w:tcPr>
            <w:tcW w:w="3187" w:type="dxa"/>
          </w:tcPr>
          <w:p w14:paraId="20B0A611" w14:textId="51A40C32" w:rsidR="005C76BB" w:rsidRPr="005C76BB" w:rsidRDefault="00253C7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I-Ready Diagnostic</w:t>
            </w:r>
            <w:r w:rsidR="00767DD3">
              <w:rPr>
                <w:rFonts w:ascii="Century Gothic" w:hAnsi="Century Gothic"/>
                <w:sz w:val="24"/>
              </w:rPr>
              <w:t xml:space="preserve">-Each student will achieve their assigned level of growth by June 2019.  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563" w:type="dxa"/>
          </w:tcPr>
          <w:p w14:paraId="22A04D76" w14:textId="4B0E964C" w:rsidR="005C76BB" w:rsidRPr="005C76BB" w:rsidRDefault="00253C7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Leadership Team</w:t>
            </w:r>
          </w:p>
        </w:tc>
        <w:tc>
          <w:tcPr>
            <w:tcW w:w="3128" w:type="dxa"/>
          </w:tcPr>
          <w:p w14:paraId="7AC878B6" w14:textId="29EDFE4D" w:rsidR="005C76BB" w:rsidRPr="005C76BB" w:rsidRDefault="00253C7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I-Ready</w:t>
            </w:r>
          </w:p>
        </w:tc>
        <w:tc>
          <w:tcPr>
            <w:tcW w:w="2267" w:type="dxa"/>
            <w:gridSpan w:val="2"/>
          </w:tcPr>
          <w:p w14:paraId="77CBDDF1" w14:textId="111E90BC" w:rsidR="005C76BB" w:rsidRPr="005C76BB" w:rsidRDefault="00767D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I-Ready Diagnostic Report</w:t>
            </w:r>
          </w:p>
        </w:tc>
        <w:tc>
          <w:tcPr>
            <w:tcW w:w="2245" w:type="dxa"/>
          </w:tcPr>
          <w:p w14:paraId="630E6241" w14:textId="440F9497" w:rsidR="005C76BB" w:rsidRPr="005C76BB" w:rsidRDefault="00767D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 Times a Year</w:t>
            </w:r>
          </w:p>
        </w:tc>
      </w:tr>
      <w:tr w:rsidR="00767DD3" w:rsidRPr="005C76BB" w14:paraId="0C911928" w14:textId="77777777" w:rsidTr="00C635A2">
        <w:tc>
          <w:tcPr>
            <w:tcW w:w="3187" w:type="dxa"/>
          </w:tcPr>
          <w:p w14:paraId="7F7323F6" w14:textId="1D206DD2" w:rsidR="00767DD3" w:rsidRDefault="00767D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BASIS Behavior Dashboard-Dolphin Bay Elementary School will decrease the number of </w:t>
            </w:r>
            <w:proofErr w:type="gramStart"/>
            <w:r>
              <w:rPr>
                <w:rFonts w:ascii="Century Gothic" w:hAnsi="Century Gothic"/>
                <w:sz w:val="24"/>
              </w:rPr>
              <w:t>referrals  by</w:t>
            </w:r>
            <w:proofErr w:type="gramEnd"/>
            <w:r>
              <w:rPr>
                <w:rFonts w:ascii="Century Gothic" w:hAnsi="Century Gothic"/>
                <w:sz w:val="24"/>
              </w:rPr>
              <w:t xml:space="preserve"> 20%.</w:t>
            </w:r>
          </w:p>
        </w:tc>
        <w:tc>
          <w:tcPr>
            <w:tcW w:w="3563" w:type="dxa"/>
          </w:tcPr>
          <w:p w14:paraId="7F379697" w14:textId="5D9566BA" w:rsidR="00767DD3" w:rsidRDefault="00767D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Leadership Team</w:t>
            </w:r>
          </w:p>
        </w:tc>
        <w:tc>
          <w:tcPr>
            <w:tcW w:w="3128" w:type="dxa"/>
          </w:tcPr>
          <w:p w14:paraId="1299135F" w14:textId="04400D5D" w:rsidR="00767DD3" w:rsidRDefault="00767D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Behavior Dashboard</w:t>
            </w:r>
          </w:p>
        </w:tc>
        <w:tc>
          <w:tcPr>
            <w:tcW w:w="2267" w:type="dxa"/>
            <w:gridSpan w:val="2"/>
          </w:tcPr>
          <w:p w14:paraId="1588E860" w14:textId="57880D13" w:rsidR="00767DD3" w:rsidRDefault="009A59B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Behavior 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</w:rPr>
              <w:t>Reports</w:t>
            </w:r>
          </w:p>
        </w:tc>
        <w:tc>
          <w:tcPr>
            <w:tcW w:w="2245" w:type="dxa"/>
          </w:tcPr>
          <w:p w14:paraId="40475B94" w14:textId="4DC58E8D" w:rsidR="00767DD3" w:rsidRDefault="009A59B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898AA" w14:textId="77777777" w:rsidR="00EF4D8A" w:rsidRDefault="00EF4D8A" w:rsidP="0036007A">
      <w:pPr>
        <w:spacing w:after="0" w:line="240" w:lineRule="auto"/>
      </w:pPr>
      <w:r>
        <w:separator/>
      </w:r>
    </w:p>
  </w:endnote>
  <w:endnote w:type="continuationSeparator" w:id="0">
    <w:p w14:paraId="761F6FF8" w14:textId="77777777" w:rsidR="00EF4D8A" w:rsidRDefault="00EF4D8A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284103" w:rsidRPr="00402ADF" w:rsidRDefault="00284103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ADF4" w14:textId="77777777" w:rsidR="00EF4D8A" w:rsidRDefault="00EF4D8A" w:rsidP="0036007A">
      <w:pPr>
        <w:spacing w:after="0" w:line="240" w:lineRule="auto"/>
      </w:pPr>
      <w:r>
        <w:separator/>
      </w:r>
    </w:p>
  </w:footnote>
  <w:footnote w:type="continuationSeparator" w:id="0">
    <w:p w14:paraId="444BBCCA" w14:textId="77777777" w:rsidR="00EF4D8A" w:rsidRDefault="00EF4D8A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284103" w:rsidRPr="00B36D69" w:rsidRDefault="00284103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284103" w:rsidRPr="00B36D69" w:rsidRDefault="00284103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284103" w:rsidRPr="00B36D69" w:rsidRDefault="00284103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284103" w:rsidRPr="00B36D69" w:rsidRDefault="00284103" w:rsidP="00B36D69">
    <w:pPr>
      <w:jc w:val="center"/>
      <w:rPr>
        <w:rStyle w:val="Emphasis"/>
        <w:sz w:val="24"/>
        <w:szCs w:val="24"/>
      </w:rPr>
    </w:pPr>
  </w:p>
  <w:p w14:paraId="4B458280" w14:textId="6FE1FF0A" w:rsidR="00284103" w:rsidRPr="00402ADF" w:rsidRDefault="00284103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63163"/>
    <w:rsid w:val="000708A0"/>
    <w:rsid w:val="000A3DAE"/>
    <w:rsid w:val="000B1F55"/>
    <w:rsid w:val="000F4F27"/>
    <w:rsid w:val="0010459B"/>
    <w:rsid w:val="001676CF"/>
    <w:rsid w:val="001A0383"/>
    <w:rsid w:val="001A39E4"/>
    <w:rsid w:val="001A463A"/>
    <w:rsid w:val="00237BBE"/>
    <w:rsid w:val="00253C7A"/>
    <w:rsid w:val="00253CAF"/>
    <w:rsid w:val="00254AC3"/>
    <w:rsid w:val="00264824"/>
    <w:rsid w:val="00284103"/>
    <w:rsid w:val="002B27C5"/>
    <w:rsid w:val="00332408"/>
    <w:rsid w:val="0033304F"/>
    <w:rsid w:val="0036007A"/>
    <w:rsid w:val="003614CC"/>
    <w:rsid w:val="00365B91"/>
    <w:rsid w:val="00377894"/>
    <w:rsid w:val="00387F6E"/>
    <w:rsid w:val="00402ADF"/>
    <w:rsid w:val="00415041"/>
    <w:rsid w:val="0042332E"/>
    <w:rsid w:val="00444387"/>
    <w:rsid w:val="00462C0F"/>
    <w:rsid w:val="00465F6D"/>
    <w:rsid w:val="00483690"/>
    <w:rsid w:val="00490F0E"/>
    <w:rsid w:val="004F4DD8"/>
    <w:rsid w:val="00517119"/>
    <w:rsid w:val="00520D65"/>
    <w:rsid w:val="005406AD"/>
    <w:rsid w:val="005A1B01"/>
    <w:rsid w:val="005B15B4"/>
    <w:rsid w:val="005C24DC"/>
    <w:rsid w:val="005C76BB"/>
    <w:rsid w:val="005D2F70"/>
    <w:rsid w:val="005D4A75"/>
    <w:rsid w:val="005F6DFB"/>
    <w:rsid w:val="00616348"/>
    <w:rsid w:val="00636BBC"/>
    <w:rsid w:val="0068671F"/>
    <w:rsid w:val="007037D3"/>
    <w:rsid w:val="00745ADA"/>
    <w:rsid w:val="00767DD3"/>
    <w:rsid w:val="007A6C10"/>
    <w:rsid w:val="007B56BB"/>
    <w:rsid w:val="007F089F"/>
    <w:rsid w:val="00836712"/>
    <w:rsid w:val="00857F74"/>
    <w:rsid w:val="008C6498"/>
    <w:rsid w:val="008F509E"/>
    <w:rsid w:val="008F7257"/>
    <w:rsid w:val="009670E2"/>
    <w:rsid w:val="00973C30"/>
    <w:rsid w:val="009770CA"/>
    <w:rsid w:val="009A59B4"/>
    <w:rsid w:val="009E702B"/>
    <w:rsid w:val="009F78E1"/>
    <w:rsid w:val="00A474D5"/>
    <w:rsid w:val="00A47A0C"/>
    <w:rsid w:val="00A67E71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B2031"/>
    <w:rsid w:val="00BC020A"/>
    <w:rsid w:val="00BE2425"/>
    <w:rsid w:val="00C2719B"/>
    <w:rsid w:val="00C34A5B"/>
    <w:rsid w:val="00C35246"/>
    <w:rsid w:val="00C635A2"/>
    <w:rsid w:val="00C83CD0"/>
    <w:rsid w:val="00CC085F"/>
    <w:rsid w:val="00CC6AC0"/>
    <w:rsid w:val="00D3798F"/>
    <w:rsid w:val="00D473D3"/>
    <w:rsid w:val="00D57662"/>
    <w:rsid w:val="00DB799E"/>
    <w:rsid w:val="00E22619"/>
    <w:rsid w:val="00E46D62"/>
    <w:rsid w:val="00EC5CC0"/>
    <w:rsid w:val="00EE2964"/>
    <w:rsid w:val="00EF4D8A"/>
    <w:rsid w:val="00F05EDA"/>
    <w:rsid w:val="00F21271"/>
    <w:rsid w:val="00F25107"/>
    <w:rsid w:val="00F665C1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926991BC-E040-4439-A438-710A8A8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9016-B777-42B7-BAF0-D15A26DE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Thomas E. Dusch Jr</cp:lastModifiedBy>
  <cp:revision>3</cp:revision>
  <cp:lastPrinted>2018-10-15T15:45:00Z</cp:lastPrinted>
  <dcterms:created xsi:type="dcterms:W3CDTF">2018-10-17T16:13:00Z</dcterms:created>
  <dcterms:modified xsi:type="dcterms:W3CDTF">2018-11-27T16:45:00Z</dcterms:modified>
</cp:coreProperties>
</file>