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22"/>
        <w:gridCol w:w="3211"/>
        <w:gridCol w:w="3182"/>
        <w:gridCol w:w="400"/>
        <w:gridCol w:w="1562"/>
        <w:gridCol w:w="2613"/>
      </w:tblGrid>
      <w:tr w:rsidR="0036007A" w:rsidRPr="00402ADF" w14:paraId="23A6891A" w14:textId="77777777" w:rsidTr="0E0C84E4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E0C84E4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E0C84E4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E0C84E4">
        <w:trPr>
          <w:trHeight w:val="417"/>
        </w:trPr>
        <w:tc>
          <w:tcPr>
            <w:tcW w:w="9625" w:type="dxa"/>
            <w:gridSpan w:val="4"/>
          </w:tcPr>
          <w:p w14:paraId="470C6C68" w14:textId="3671EEF1" w:rsidR="00332408" w:rsidRPr="00C35246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School</w:t>
            </w:r>
            <w:r w:rsidRPr="0E0C84E4">
              <w:rPr>
                <w:rFonts w:ascii="Century Gothic" w:hAnsi="Century Gothic"/>
                <w:sz w:val="24"/>
                <w:szCs w:val="24"/>
              </w:rPr>
              <w:t>: Morrow Elementary</w:t>
            </w:r>
          </w:p>
        </w:tc>
        <w:tc>
          <w:tcPr>
            <w:tcW w:w="4703" w:type="dxa"/>
            <w:gridSpan w:val="2"/>
          </w:tcPr>
          <w:p w14:paraId="42A7A2A1" w14:textId="6C7806B9" w:rsidR="0036007A" w:rsidRPr="00C35246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School Year: 2018-2019</w:t>
            </w:r>
          </w:p>
        </w:tc>
      </w:tr>
      <w:tr w:rsidR="00332408" w:rsidRPr="005C76BB" w14:paraId="5121644A" w14:textId="77777777" w:rsidTr="0E0C84E4">
        <w:trPr>
          <w:trHeight w:val="417"/>
        </w:trPr>
        <w:tc>
          <w:tcPr>
            <w:tcW w:w="9625" w:type="dxa"/>
            <w:gridSpan w:val="4"/>
          </w:tcPr>
          <w:p w14:paraId="4E473C07" w14:textId="5A469CE7" w:rsidR="00332408" w:rsidRPr="00332408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Principal:  Laurel </w:t>
            </w:r>
            <w:proofErr w:type="spellStart"/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Crowle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E0C84E4">
        <w:tc>
          <w:tcPr>
            <w:tcW w:w="14328" w:type="dxa"/>
            <w:gridSpan w:val="6"/>
          </w:tcPr>
          <w:p w14:paraId="71115BA3" w14:textId="75DEB9C9" w:rsidR="00332408" w:rsidRPr="00332408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Cadre Director:  Jacquelyn Haywood</w:t>
            </w:r>
          </w:p>
        </w:tc>
      </w:tr>
      <w:tr w:rsidR="0036007A" w:rsidRPr="005C76BB" w14:paraId="1587C81D" w14:textId="77777777" w:rsidTr="0E0C84E4">
        <w:tc>
          <w:tcPr>
            <w:tcW w:w="14328" w:type="dxa"/>
            <w:gridSpan w:val="6"/>
          </w:tcPr>
          <w:p w14:paraId="759641CE" w14:textId="40DB067A" w:rsidR="00332408" w:rsidRPr="00332408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School Mission:  </w:t>
            </w:r>
          </w:p>
          <w:p w14:paraId="16A18CEB" w14:textId="0A1255B0" w:rsidR="00332408" w:rsidRPr="00332408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Morrow Elementary School is committed to educating all students and fostering life-long learners.</w:t>
            </w:r>
          </w:p>
          <w:p w14:paraId="49C13E81" w14:textId="14B6B07A" w:rsidR="0036007A" w:rsidRPr="00332408" w:rsidRDefault="0036007A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332408" w:rsidRPr="005C76BB" w14:paraId="35F32D34" w14:textId="77777777" w:rsidTr="0E0C84E4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59D64C24" w:rsidR="00332408" w:rsidRDefault="0E0C84E4" w:rsidP="0E0C84E4">
            <w:pPr>
              <w:rPr>
                <w:rFonts w:ascii="Palatino" w:hAnsi="Palatino"/>
                <w:sz w:val="24"/>
                <w:szCs w:val="24"/>
              </w:rPr>
            </w:pPr>
            <w:r w:rsidRPr="0E0C84E4">
              <w:rPr>
                <w:rFonts w:ascii="Palatino" w:hAnsi="Palatino"/>
                <w:sz w:val="24"/>
                <w:szCs w:val="24"/>
              </w:rPr>
              <w:t>At Morrow Elementary School we are united to empower all learners to become proficient readers, providing them with tools for College and Career Readiness.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E0C84E4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E0C84E4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2C5BD258" w:rsidR="000A3DAE" w:rsidRPr="00C35246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Name:         </w:t>
            </w:r>
            <w:proofErr w:type="spellStart"/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MyDuyen</w:t>
            </w:r>
            <w:proofErr w:type="spellEnd"/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Mindy Nguyen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E0C84E4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5F6DB7C3" w:rsidR="0036007A" w:rsidRPr="00C35246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Name:         Christopher Brightman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E0C84E4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ADA56C9" w:rsidR="0036007A" w:rsidRPr="00C35246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Name:           </w:t>
            </w:r>
            <w:proofErr w:type="spellStart"/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Tamilla</w:t>
            </w:r>
            <w:proofErr w:type="spellEnd"/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Mason                                                                                                              Literacy Coach</w:t>
            </w:r>
          </w:p>
        </w:tc>
      </w:tr>
      <w:tr w:rsidR="0036007A" w:rsidRPr="005C76BB" w14:paraId="457BFB41" w14:textId="77777777" w:rsidTr="0E0C84E4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546FA807" w:rsidR="0036007A" w:rsidRPr="00C35246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Name:          Ava Tucker                                                                                                                    Math Coach</w:t>
            </w:r>
          </w:p>
        </w:tc>
      </w:tr>
      <w:tr w:rsidR="00C35246" w:rsidRPr="005C76BB" w14:paraId="247A998E" w14:textId="77777777" w:rsidTr="0E0C84E4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632B24D6" w:rsidR="00C35246" w:rsidRPr="00C35246" w:rsidRDefault="0E0C84E4" w:rsidP="0E0C84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Name:          Althea Hunt                                                                                                                    ESE Specialist</w:t>
            </w:r>
          </w:p>
        </w:tc>
      </w:tr>
      <w:tr w:rsidR="00B36D69" w:rsidRPr="005C76BB" w14:paraId="0A6A861B" w14:textId="77777777" w:rsidTr="0E0C84E4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E0C84E4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E0C84E4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E0C84E4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71F2ABC5" w14:textId="480AF8FC" w:rsidR="002B27C5" w:rsidRPr="002B27C5" w:rsidRDefault="0E0C84E4" w:rsidP="0E0C84E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Sanford Harmony</w:t>
            </w:r>
          </w:p>
          <w:p w14:paraId="62D3CA25" w14:textId="36B1C5A8" w:rsidR="002B27C5" w:rsidRPr="002B27C5" w:rsidRDefault="0E0C84E4" w:rsidP="0E0C84E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Be the 1</w:t>
            </w:r>
          </w:p>
          <w:p w14:paraId="5EC5CD76" w14:textId="128B4085" w:rsidR="002B27C5" w:rsidRPr="002B27C5" w:rsidRDefault="0E0C84E4" w:rsidP="0E0C84E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Sandy Hook Promise (Start with Hello)</w:t>
            </w:r>
          </w:p>
          <w:p w14:paraId="48B92E00" w14:textId="1E03A3F3" w:rsidR="002B27C5" w:rsidRPr="002B27C5" w:rsidRDefault="0E0C84E4" w:rsidP="0E0C84E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E0C84E4">
              <w:rPr>
                <w:rFonts w:ascii="Century Gothic" w:hAnsi="Century Gothic"/>
                <w:b/>
                <w:bCs/>
                <w:sz w:val="24"/>
                <w:szCs w:val="24"/>
              </w:rPr>
              <w:t>Class Meetings that Matter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E0C84E4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E0C84E4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E0C84E4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E0C84E4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E0C84E4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E0C84E4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11A064B0" w:rsidR="00C35246" w:rsidRPr="005C76BB" w:rsidRDefault="0E0C84E4" w:rsidP="0E0C84E4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E0C84E4">
                    <w:rPr>
                      <w:rFonts w:ascii="Century Gothic" w:hAnsi="Century Gothic"/>
                      <w:sz w:val="24"/>
                      <w:szCs w:val="24"/>
                    </w:rPr>
                    <w:t>This is done with morning meeting or similar meetings to reflect student’s emotions and set a positive tone for the rest of the day.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25BF4672" w:rsidR="00C35246" w:rsidRPr="005C76BB" w:rsidRDefault="0E0C84E4" w:rsidP="0E0C84E4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E0C84E4">
                    <w:rPr>
                      <w:rFonts w:ascii="Century Gothic" w:hAnsi="Century Gothic"/>
                      <w:sz w:val="24"/>
                      <w:szCs w:val="24"/>
                    </w:rPr>
                    <w:t xml:space="preserve">Through class meetings, students can see the support with each other.  They are able to respect each other’s personal qualities.  </w:t>
                  </w:r>
                </w:p>
                <w:p w14:paraId="29774045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0CB8D2AF" w:rsidR="00C019D8" w:rsidRPr="005C76BB" w:rsidRDefault="00C019D8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E96E956" w14:textId="04E51DD8" w:rsidR="00C35246" w:rsidRPr="005C76BB" w:rsidRDefault="0E0C84E4" w:rsidP="0E0C84E4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E0C84E4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</w:t>
                  </w:r>
                </w:p>
                <w:p w14:paraId="5619D5B1" w14:textId="73BE2CD5" w:rsidR="0E0C84E4" w:rsidRDefault="0E0C84E4" w:rsidP="0E0C84E4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E0C84E4">
                    <w:rPr>
                      <w:rFonts w:ascii="Century Gothic" w:hAnsi="Century Gothic"/>
                      <w:sz w:val="24"/>
                      <w:szCs w:val="24"/>
                    </w:rPr>
                    <w:t>Student and teachers work on goal setting with in the classroom environment.  They use their agenda to stay goal oriented and on task with their homework.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E0C84E4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E0C84E4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5EB18E6E" w:rsidR="00C35246" w:rsidRPr="00C019D8" w:rsidRDefault="0E0C84E4" w:rsidP="0E0C84E4">
                  <w:pPr>
                    <w:rPr>
                      <w:rFonts w:ascii="Century Gothic" w:hAnsi="Century Gothic"/>
                      <w:bCs/>
                      <w:sz w:val="24"/>
                      <w:szCs w:val="24"/>
                    </w:rPr>
                  </w:pPr>
                  <w:r w:rsidRPr="00C019D8"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>In our SEL programs, student share their feelings and are aware of their peer’s feelings when collaborating in the morning meetings.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E0C84E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E0C84E4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</w:t>
                  </w:r>
                </w:p>
                <w:p w14:paraId="687750A0" w14:textId="61048052" w:rsidR="00C35246" w:rsidRPr="00C019D8" w:rsidRDefault="0E0C84E4" w:rsidP="00C35246">
                  <w:pPr>
                    <w:rPr>
                      <w:rFonts w:ascii="Century Gothic" w:hAnsi="Century Gothic"/>
                      <w:bCs/>
                      <w:sz w:val="24"/>
                      <w:szCs w:val="24"/>
                    </w:rPr>
                  </w:pPr>
                  <w:r w:rsidRPr="00C019D8"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>Through sharing in their morning meetings (or throughout the day) students are able to relate to each other in similarities and differences.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019D8">
              <w:trPr>
                <w:trHeight w:val="1358"/>
              </w:trPr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4F8BA95" w14:textId="6645F323" w:rsidR="00C35246" w:rsidRPr="00C019D8" w:rsidRDefault="0E0C84E4" w:rsidP="00C35246">
                  <w:pPr>
                    <w:rPr>
                      <w:rFonts w:ascii="Century Gothic" w:hAnsi="Century Gothic"/>
                      <w:bCs/>
                      <w:sz w:val="24"/>
                      <w:szCs w:val="24"/>
                    </w:rPr>
                  </w:pPr>
                  <w:r w:rsidRPr="00C019D8"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>The SEL program focuses on social interaction and respecting one another.  They communicate this through peer sharing and whole share.</w:t>
                  </w:r>
                </w:p>
              </w:tc>
            </w:tr>
            <w:tr w:rsidR="00C35246" w:rsidRPr="005C76BB" w14:paraId="582F7033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347295A1" w:rsidR="00C35246" w:rsidRDefault="00C019D8" w:rsidP="0E0C84E4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The programs include “Be the 1, Sanford Harmony, Meetings That Matter, and the Sandy Hook Program. </w:t>
                  </w:r>
                  <w:r w:rsidR="0E0C84E4" w:rsidRPr="0E0C84E4">
                    <w:rPr>
                      <w:rFonts w:ascii="Century Gothic" w:hAnsi="Century Gothic"/>
                      <w:sz w:val="24"/>
                      <w:szCs w:val="24"/>
                    </w:rPr>
                    <w:t xml:space="preserve">By utilizing these programs and incorporating them in the classroom, student conflicts will decrease as they get to know each other.  It also allows them to build relationships within the classroom. 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E0C84E4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E0C84E4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4611C82" w14:textId="55095186" w:rsidR="00C35246" w:rsidRPr="005C76BB" w:rsidRDefault="0E0C84E4" w:rsidP="0E0C84E4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E0C84E4">
                    <w:rPr>
                      <w:rFonts w:ascii="Century Gothic" w:hAnsi="Century Gothic"/>
                      <w:sz w:val="24"/>
                      <w:szCs w:val="24"/>
                    </w:rPr>
                    <w:t xml:space="preserve">SEL programs will allow students to self-reflect and improve on their decision making by learning from each other and communicate better. </w:t>
                  </w:r>
                </w:p>
              </w:tc>
            </w:tr>
            <w:tr w:rsidR="00C35246" w:rsidRPr="005C76BB" w14:paraId="3A38F753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DA190B2" w14:textId="306E5B7F" w:rsidR="00C35246" w:rsidRPr="00C019D8" w:rsidRDefault="0E0C84E4" w:rsidP="0E0C84E4">
                  <w:pPr>
                    <w:rPr>
                      <w:rFonts w:ascii="Century Gothic" w:hAnsi="Century Gothic"/>
                      <w:bCs/>
                      <w:sz w:val="24"/>
                      <w:szCs w:val="24"/>
                    </w:rPr>
                  </w:pPr>
                  <w:r w:rsidRPr="00C019D8"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>Using morning meetings will set the tone for the day and help them will responsible decision making with their academic and personal social choices.</w:t>
                  </w:r>
                </w:p>
              </w:tc>
            </w:tr>
            <w:tr w:rsidR="00C35246" w:rsidRPr="005C76BB" w14:paraId="73C696D1" w14:textId="77777777" w:rsidTr="0E0C84E4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A2620D7" w14:textId="72D6381E" w:rsidR="00C35246" w:rsidRPr="00C019D8" w:rsidRDefault="00C019D8" w:rsidP="0E0C84E4">
                  <w:pPr>
                    <w:rPr>
                      <w:rFonts w:ascii="Century Gothic" w:hAnsi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 xml:space="preserve">We will target the standard through organized social events throughout the school year. This will take place through student participation in clubs, school-sponsored events, and family nights. </w:t>
                  </w:r>
                  <w:r w:rsidR="0E0C84E4" w:rsidRPr="00C019D8"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>Students will be able to make a difference in their participation in building relationship and making the school and community more positive.</w:t>
                  </w:r>
                  <w:r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E0C84E4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E0C84E4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00866B68" w14:textId="1846A73D" w:rsidR="00C35246" w:rsidRPr="00C019D8" w:rsidRDefault="0E0C84E4" w:rsidP="0E0C84E4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019D8">
              <w:rPr>
                <w:rFonts w:ascii="Century Gothic" w:hAnsi="Century Gothic"/>
                <w:bCs/>
                <w:sz w:val="24"/>
                <w:szCs w:val="24"/>
              </w:rPr>
              <w:t xml:space="preserve">Our school wide policy and practices support the social emotional learning of our students by empowering them with communication skills and encouraging them to be life-long learners in all aspect of life.  It gives them the tools and skills to be able to be successful in their class, school, and community.  </w:t>
            </w:r>
          </w:p>
          <w:p w14:paraId="2C5E3537" w14:textId="77777777" w:rsidR="00C35246" w:rsidRPr="00C019D8" w:rsidRDefault="00C35246" w:rsidP="005C76BB">
            <w:pPr>
              <w:rPr>
                <w:rFonts w:ascii="Century Gothic" w:hAnsi="Century Gothic"/>
                <w:bCs/>
                <w:sz w:val="24"/>
              </w:rPr>
            </w:pPr>
          </w:p>
          <w:p w14:paraId="35981ECD" w14:textId="77777777" w:rsidR="00C35246" w:rsidRPr="00C019D8" w:rsidRDefault="00C35246" w:rsidP="005C76BB">
            <w:pPr>
              <w:rPr>
                <w:rFonts w:ascii="Century Gothic" w:hAnsi="Century Gothic"/>
                <w:bCs/>
                <w:sz w:val="24"/>
              </w:rPr>
            </w:pPr>
          </w:p>
        </w:tc>
      </w:tr>
      <w:tr w:rsidR="00AA52FA" w:rsidRPr="005C76BB" w14:paraId="1E796D42" w14:textId="77777777" w:rsidTr="0E0C84E4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E0C84E4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E0C84E4">
        <w:tc>
          <w:tcPr>
            <w:tcW w:w="3366" w:type="dxa"/>
          </w:tcPr>
          <w:p w14:paraId="1315112B" w14:textId="5BD4ABE2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Staff Trainings</w:t>
            </w:r>
            <w:r w:rsidR="00C019D8">
              <w:rPr>
                <w:rFonts w:ascii="Century Gothic" w:hAnsi="Century Gothic"/>
                <w:sz w:val="24"/>
                <w:szCs w:val="24"/>
              </w:rPr>
              <w:t>: Meetings That Matter, Sanford Harmony, Be the 1, Sandy Hook Program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4F940207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Nguyen/Watson</w:t>
            </w:r>
          </w:p>
        </w:tc>
        <w:tc>
          <w:tcPr>
            <w:tcW w:w="3332" w:type="dxa"/>
          </w:tcPr>
          <w:p w14:paraId="0CE22728" w14:textId="4FF451CF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Books and Online resources</w:t>
            </w:r>
          </w:p>
        </w:tc>
        <w:tc>
          <w:tcPr>
            <w:tcW w:w="2940" w:type="dxa"/>
            <w:gridSpan w:val="2"/>
          </w:tcPr>
          <w:p w14:paraId="5B04DEF5" w14:textId="73B550CF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Staff sign in sheet</w:t>
            </w:r>
          </w:p>
        </w:tc>
        <w:tc>
          <w:tcPr>
            <w:tcW w:w="2357" w:type="dxa"/>
          </w:tcPr>
          <w:p w14:paraId="64EA3B07" w14:textId="65E3B998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  <w:tr w:rsidR="005C76BB" w:rsidRPr="005C76BB" w14:paraId="01D92940" w14:textId="77777777" w:rsidTr="0E0C84E4">
        <w:trPr>
          <w:trHeight w:val="478"/>
        </w:trPr>
        <w:tc>
          <w:tcPr>
            <w:tcW w:w="3366" w:type="dxa"/>
          </w:tcPr>
          <w:p w14:paraId="30FC5D28" w14:textId="42F49183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Online Resources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5B10894D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Teacher/Nguyen</w:t>
            </w:r>
          </w:p>
        </w:tc>
        <w:tc>
          <w:tcPr>
            <w:tcW w:w="3332" w:type="dxa"/>
          </w:tcPr>
          <w:p w14:paraId="741CE49B" w14:textId="5D568ACC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Broward Prevention website</w:t>
            </w:r>
          </w:p>
        </w:tc>
        <w:tc>
          <w:tcPr>
            <w:tcW w:w="2940" w:type="dxa"/>
            <w:gridSpan w:val="2"/>
          </w:tcPr>
          <w:p w14:paraId="137AFAE2" w14:textId="6EE60170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Teacher follow up</w:t>
            </w:r>
          </w:p>
        </w:tc>
        <w:tc>
          <w:tcPr>
            <w:tcW w:w="2357" w:type="dxa"/>
          </w:tcPr>
          <w:p w14:paraId="6FF76B38" w14:textId="5CCD3BBB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  <w:tr w:rsidR="005C76BB" w:rsidRPr="005C76BB" w14:paraId="5DF6BDAA" w14:textId="77777777" w:rsidTr="0E0C84E4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E0C84E4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E0C84E4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E0C84E4">
        <w:tc>
          <w:tcPr>
            <w:tcW w:w="3366" w:type="dxa"/>
          </w:tcPr>
          <w:p w14:paraId="20B0A611" w14:textId="790A6D9F" w:rsidR="005C76BB" w:rsidRPr="005C76BB" w:rsidRDefault="007934EB" w:rsidP="0E0C84E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 will monitor behavior data in</w:t>
            </w:r>
          </w:p>
          <w:p w14:paraId="33DF8FE7" w14:textId="74F7F2A6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Discipline Matrix System</w:t>
            </w:r>
            <w:r w:rsidR="007934EB">
              <w:rPr>
                <w:rFonts w:ascii="Century Gothic" w:hAnsi="Century Gothic"/>
                <w:sz w:val="24"/>
                <w:szCs w:val="24"/>
              </w:rPr>
              <w:t xml:space="preserve"> (DMS) to see if behavior referrals are decreasing. An indicator of success is a decrease in behavior referrals.</w:t>
            </w:r>
          </w:p>
        </w:tc>
        <w:tc>
          <w:tcPr>
            <w:tcW w:w="2333" w:type="dxa"/>
          </w:tcPr>
          <w:p w14:paraId="22A04D76" w14:textId="125F53D6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Brightman/Nguyen</w:t>
            </w:r>
          </w:p>
        </w:tc>
        <w:tc>
          <w:tcPr>
            <w:tcW w:w="3332" w:type="dxa"/>
          </w:tcPr>
          <w:p w14:paraId="7AC878B6" w14:textId="549BF626" w:rsidR="005C76BB" w:rsidRPr="005C76BB" w:rsidRDefault="007934EB" w:rsidP="0E0C84E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Behavior data reports from DMS</w:t>
            </w:r>
          </w:p>
        </w:tc>
        <w:tc>
          <w:tcPr>
            <w:tcW w:w="2940" w:type="dxa"/>
            <w:gridSpan w:val="2"/>
          </w:tcPr>
          <w:p w14:paraId="77CBDDF1" w14:textId="4601E90B" w:rsidR="005C76BB" w:rsidRPr="005C76BB" w:rsidRDefault="007934EB" w:rsidP="0E0C84E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r w:rsidR="0E0C84E4" w:rsidRPr="0E0C84E4">
              <w:rPr>
                <w:rFonts w:ascii="Century Gothic" w:hAnsi="Century Gothic"/>
                <w:sz w:val="24"/>
                <w:szCs w:val="24"/>
              </w:rPr>
              <w:t>Reports</w:t>
            </w:r>
          </w:p>
        </w:tc>
        <w:tc>
          <w:tcPr>
            <w:tcW w:w="2357" w:type="dxa"/>
          </w:tcPr>
          <w:p w14:paraId="630E6241" w14:textId="480C4BFE" w:rsidR="005C76BB" w:rsidRPr="005C76BB" w:rsidRDefault="0E0C84E4" w:rsidP="0E0C84E4">
            <w:pPr>
              <w:rPr>
                <w:rFonts w:ascii="Century Gothic" w:hAnsi="Century Gothic"/>
                <w:sz w:val="24"/>
                <w:szCs w:val="24"/>
              </w:rPr>
            </w:pPr>
            <w:r w:rsidRPr="0E0C84E4"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  <w:tr w:rsidR="00AA52FA" w:rsidRPr="005C76BB" w14:paraId="0E2F0CDC" w14:textId="77777777" w:rsidTr="0E0C84E4">
        <w:trPr>
          <w:trHeight w:val="406"/>
        </w:trPr>
        <w:tc>
          <w:tcPr>
            <w:tcW w:w="3366" w:type="dxa"/>
          </w:tcPr>
          <w:p w14:paraId="5480C5D7" w14:textId="160DD207" w:rsidR="00AA52FA" w:rsidRPr="005C76BB" w:rsidRDefault="007934E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We will monitor </w:t>
            </w:r>
            <w:r w:rsidR="00C019D8">
              <w:rPr>
                <w:rFonts w:ascii="Century Gothic" w:hAnsi="Century Gothic"/>
                <w:sz w:val="24"/>
              </w:rPr>
              <w:t>Math and Reading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="00C019D8">
              <w:rPr>
                <w:rFonts w:ascii="Century Gothic" w:hAnsi="Century Gothic"/>
                <w:sz w:val="24"/>
              </w:rPr>
              <w:t>Diagnostics/</w:t>
            </w:r>
            <w:r w:rsidR="00974FE2">
              <w:rPr>
                <w:rFonts w:ascii="Century Gothic" w:hAnsi="Century Gothic"/>
                <w:sz w:val="24"/>
              </w:rPr>
              <w:t xml:space="preserve"> </w:t>
            </w:r>
            <w:r w:rsidR="00C019D8">
              <w:rPr>
                <w:rFonts w:ascii="Century Gothic" w:hAnsi="Century Gothic"/>
                <w:sz w:val="24"/>
              </w:rPr>
              <w:t>Assessments</w:t>
            </w:r>
            <w:r>
              <w:rPr>
                <w:rFonts w:ascii="Century Gothic" w:hAnsi="Century Gothic"/>
                <w:sz w:val="24"/>
              </w:rPr>
              <w:t xml:space="preserve"> to track student academic </w:t>
            </w:r>
            <w:r>
              <w:rPr>
                <w:rFonts w:ascii="Century Gothic" w:hAnsi="Century Gothic"/>
                <w:sz w:val="24"/>
              </w:rPr>
              <w:lastRenderedPageBreak/>
              <w:t>progress. An indicator o</w:t>
            </w:r>
            <w:r w:rsidR="006F353A">
              <w:rPr>
                <w:rFonts w:ascii="Century Gothic" w:hAnsi="Century Gothic"/>
                <w:sz w:val="24"/>
              </w:rPr>
              <w:t>f</w:t>
            </w:r>
            <w:r>
              <w:rPr>
                <w:rFonts w:ascii="Century Gothic" w:hAnsi="Century Gothic"/>
                <w:sz w:val="24"/>
              </w:rPr>
              <w:t xml:space="preserve"> success is growth in student achievement data.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552269D" w:rsidR="00AA52FA" w:rsidRPr="005C76BB" w:rsidRDefault="00C019D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Mason/Tucker</w:t>
            </w:r>
          </w:p>
        </w:tc>
        <w:tc>
          <w:tcPr>
            <w:tcW w:w="3332" w:type="dxa"/>
          </w:tcPr>
          <w:p w14:paraId="0BFDFAAB" w14:textId="7BD5EDF2" w:rsidR="00AA52FA" w:rsidRPr="005C76BB" w:rsidRDefault="00C019D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BAS, </w:t>
            </w:r>
            <w:proofErr w:type="spellStart"/>
            <w:r>
              <w:rPr>
                <w:rFonts w:ascii="Century Gothic" w:hAnsi="Century Gothic"/>
                <w:sz w:val="24"/>
              </w:rPr>
              <w:t>iReady</w:t>
            </w:r>
            <w:proofErr w:type="spellEnd"/>
            <w:r w:rsidR="00B47D8F">
              <w:rPr>
                <w:rFonts w:ascii="Century Gothic" w:hAnsi="Century Gothic"/>
                <w:sz w:val="24"/>
              </w:rPr>
              <w:t>, School City Formatives</w:t>
            </w:r>
          </w:p>
        </w:tc>
        <w:tc>
          <w:tcPr>
            <w:tcW w:w="2940" w:type="dxa"/>
            <w:gridSpan w:val="2"/>
          </w:tcPr>
          <w:p w14:paraId="29861ABC" w14:textId="00AFA91E" w:rsidR="00AA52FA" w:rsidRPr="005C76BB" w:rsidRDefault="006F353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Data </w:t>
            </w:r>
            <w:r w:rsidR="00C019D8">
              <w:rPr>
                <w:rFonts w:ascii="Century Gothic" w:hAnsi="Century Gothic"/>
                <w:sz w:val="24"/>
              </w:rPr>
              <w:t>Reports</w:t>
            </w:r>
          </w:p>
        </w:tc>
        <w:tc>
          <w:tcPr>
            <w:tcW w:w="2357" w:type="dxa"/>
          </w:tcPr>
          <w:p w14:paraId="18BC6302" w14:textId="068D7DDE" w:rsidR="00AA52FA" w:rsidRPr="005C76BB" w:rsidRDefault="00C019D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289F" w14:textId="77777777" w:rsidR="00057F77" w:rsidRDefault="00057F77" w:rsidP="0036007A">
      <w:pPr>
        <w:spacing w:after="0" w:line="240" w:lineRule="auto"/>
      </w:pPr>
      <w:r>
        <w:separator/>
      </w:r>
    </w:p>
  </w:endnote>
  <w:endnote w:type="continuationSeparator" w:id="0">
    <w:p w14:paraId="776EF097" w14:textId="77777777" w:rsidR="00057F77" w:rsidRDefault="00057F77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604D" w14:textId="77777777" w:rsidR="00057F77" w:rsidRDefault="00057F77" w:rsidP="0036007A">
      <w:pPr>
        <w:spacing w:after="0" w:line="240" w:lineRule="auto"/>
      </w:pPr>
      <w:r>
        <w:separator/>
      </w:r>
    </w:p>
  </w:footnote>
  <w:footnote w:type="continuationSeparator" w:id="0">
    <w:p w14:paraId="634C43AE" w14:textId="77777777" w:rsidR="00057F77" w:rsidRDefault="00057F77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7FE8"/>
    <w:multiLevelType w:val="hybridMultilevel"/>
    <w:tmpl w:val="733AD0C2"/>
    <w:lvl w:ilvl="0" w:tplc="3C42171E">
      <w:start w:val="1"/>
      <w:numFmt w:val="decimal"/>
      <w:lvlText w:val="%1."/>
      <w:lvlJc w:val="left"/>
      <w:pPr>
        <w:ind w:left="720" w:hanging="360"/>
      </w:pPr>
    </w:lvl>
    <w:lvl w:ilvl="1" w:tplc="2F7C1DF8">
      <w:start w:val="1"/>
      <w:numFmt w:val="decimal"/>
      <w:lvlText w:val="%2."/>
      <w:lvlJc w:val="left"/>
      <w:pPr>
        <w:ind w:left="1440" w:hanging="360"/>
      </w:pPr>
    </w:lvl>
    <w:lvl w:ilvl="2" w:tplc="390E4A0C">
      <w:start w:val="1"/>
      <w:numFmt w:val="lowerRoman"/>
      <w:lvlText w:val="%3."/>
      <w:lvlJc w:val="right"/>
      <w:pPr>
        <w:ind w:left="2160" w:hanging="180"/>
      </w:pPr>
    </w:lvl>
    <w:lvl w:ilvl="3" w:tplc="FADED3A8">
      <w:start w:val="1"/>
      <w:numFmt w:val="decimal"/>
      <w:lvlText w:val="%4."/>
      <w:lvlJc w:val="left"/>
      <w:pPr>
        <w:ind w:left="2880" w:hanging="360"/>
      </w:pPr>
    </w:lvl>
    <w:lvl w:ilvl="4" w:tplc="80EC49D4">
      <w:start w:val="1"/>
      <w:numFmt w:val="lowerLetter"/>
      <w:lvlText w:val="%5."/>
      <w:lvlJc w:val="left"/>
      <w:pPr>
        <w:ind w:left="3600" w:hanging="360"/>
      </w:pPr>
    </w:lvl>
    <w:lvl w:ilvl="5" w:tplc="9DFE992E">
      <w:start w:val="1"/>
      <w:numFmt w:val="lowerRoman"/>
      <w:lvlText w:val="%6."/>
      <w:lvlJc w:val="right"/>
      <w:pPr>
        <w:ind w:left="4320" w:hanging="180"/>
      </w:pPr>
    </w:lvl>
    <w:lvl w:ilvl="6" w:tplc="0F707A26">
      <w:start w:val="1"/>
      <w:numFmt w:val="decimal"/>
      <w:lvlText w:val="%7."/>
      <w:lvlJc w:val="left"/>
      <w:pPr>
        <w:ind w:left="5040" w:hanging="360"/>
      </w:pPr>
    </w:lvl>
    <w:lvl w:ilvl="7" w:tplc="5FA82552">
      <w:start w:val="1"/>
      <w:numFmt w:val="lowerLetter"/>
      <w:lvlText w:val="%8."/>
      <w:lvlJc w:val="left"/>
      <w:pPr>
        <w:ind w:left="5760" w:hanging="360"/>
      </w:pPr>
    </w:lvl>
    <w:lvl w:ilvl="8" w:tplc="FEDA79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30C70"/>
    <w:rsid w:val="00057F77"/>
    <w:rsid w:val="000708A0"/>
    <w:rsid w:val="000A3DAE"/>
    <w:rsid w:val="000E0920"/>
    <w:rsid w:val="000F4F27"/>
    <w:rsid w:val="0010459B"/>
    <w:rsid w:val="001676CF"/>
    <w:rsid w:val="001A0383"/>
    <w:rsid w:val="001A39E4"/>
    <w:rsid w:val="001F2DEA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18D5"/>
    <w:rsid w:val="0068671F"/>
    <w:rsid w:val="006F353A"/>
    <w:rsid w:val="00745ADA"/>
    <w:rsid w:val="007934EB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4FE2"/>
    <w:rsid w:val="009770CA"/>
    <w:rsid w:val="009E702B"/>
    <w:rsid w:val="009F78E1"/>
    <w:rsid w:val="00A474D5"/>
    <w:rsid w:val="00A52D84"/>
    <w:rsid w:val="00A536E7"/>
    <w:rsid w:val="00A8710F"/>
    <w:rsid w:val="00A97058"/>
    <w:rsid w:val="00AA13B4"/>
    <w:rsid w:val="00AA52FA"/>
    <w:rsid w:val="00AC7A01"/>
    <w:rsid w:val="00AF61C3"/>
    <w:rsid w:val="00B12EB5"/>
    <w:rsid w:val="00B36D69"/>
    <w:rsid w:val="00B47D8F"/>
    <w:rsid w:val="00B51976"/>
    <w:rsid w:val="00B70D6E"/>
    <w:rsid w:val="00B97A8B"/>
    <w:rsid w:val="00BC020A"/>
    <w:rsid w:val="00BE2425"/>
    <w:rsid w:val="00C019D8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  <w:rsid w:val="0E0C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CFAC94C5-D2DB-4AB6-8718-0D00A93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E65B-FCDA-46F6-A1FA-ED8FC47F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Dana S. Dowe</cp:lastModifiedBy>
  <cp:revision>2</cp:revision>
  <cp:lastPrinted>2018-08-07T18:12:00Z</cp:lastPrinted>
  <dcterms:created xsi:type="dcterms:W3CDTF">2018-11-30T20:56:00Z</dcterms:created>
  <dcterms:modified xsi:type="dcterms:W3CDTF">2018-11-30T20:56:00Z</dcterms:modified>
</cp:coreProperties>
</file>