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673"/>
        <w:gridCol w:w="2895"/>
        <w:gridCol w:w="3230"/>
        <w:gridCol w:w="402"/>
        <w:gridCol w:w="1567"/>
        <w:gridCol w:w="2623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 xml:space="preserve">Complete the </w:t>
            </w:r>
            <w:proofErr w:type="gramStart"/>
            <w:r w:rsidRPr="00B36D69">
              <w:rPr>
                <w:rFonts w:ascii="Century Gothic" w:hAnsi="Century Gothic"/>
                <w:b/>
              </w:rPr>
              <w:t>school based</w:t>
            </w:r>
            <w:proofErr w:type="gramEnd"/>
            <w:r w:rsidRPr="00B36D69">
              <w:rPr>
                <w:rFonts w:ascii="Century Gothic" w:hAnsi="Century Gothic"/>
                <w:b/>
              </w:rPr>
              <w:t xml:space="preserve">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C550124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1A0CE4">
              <w:rPr>
                <w:rFonts w:ascii="Century Gothic" w:hAnsi="Century Gothic"/>
                <w:sz w:val="24"/>
                <w:szCs w:val="24"/>
              </w:rPr>
              <w:t xml:space="preserve"> Coconut Creek Elementary</w:t>
            </w:r>
          </w:p>
        </w:tc>
        <w:tc>
          <w:tcPr>
            <w:tcW w:w="4703" w:type="dxa"/>
            <w:gridSpan w:val="2"/>
          </w:tcPr>
          <w:p w14:paraId="42A7A2A1" w14:textId="1419BB2A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1A0CE4">
              <w:rPr>
                <w:rFonts w:ascii="Century Gothic" w:hAnsi="Century Gothic"/>
                <w:b/>
                <w:sz w:val="24"/>
                <w:szCs w:val="28"/>
              </w:rPr>
              <w:t xml:space="preserve"> 2018-1019</w:t>
            </w:r>
          </w:p>
        </w:tc>
      </w:tr>
      <w:tr w:rsidR="00332408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3A2E021D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1A0CE4">
              <w:rPr>
                <w:rFonts w:ascii="Century Gothic" w:hAnsi="Century Gothic"/>
                <w:b/>
                <w:sz w:val="24"/>
                <w:szCs w:val="24"/>
              </w:rPr>
              <w:t xml:space="preserve"> Kathy Good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243F5EEE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07986F11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9B73E3">
              <w:rPr>
                <w:rFonts w:ascii="Century Gothic" w:hAnsi="Century Gothic"/>
                <w:b/>
                <w:sz w:val="24"/>
                <w:szCs w:val="24"/>
              </w:rPr>
              <w:t xml:space="preserve"> We are committed to educating all Coconut Creek Elementary students to be college and career ready in a global community.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0E4D2EC2" w14:textId="22C22225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9B73E3">
              <w:rPr>
                <w:rFonts w:ascii="Century Gothic" w:hAnsi="Century Gothic"/>
                <w:szCs w:val="24"/>
              </w:rPr>
              <w:t xml:space="preserve"> </w:t>
            </w:r>
            <w:r w:rsidR="009B73E3" w:rsidRPr="009B73E3">
              <w:rPr>
                <w:rFonts w:ascii="Century Gothic" w:hAnsi="Century Gothic"/>
                <w:b/>
                <w:szCs w:val="24"/>
              </w:rPr>
              <w:t>Educating all students to think critically</w:t>
            </w:r>
            <w:bookmarkStart w:id="0" w:name="_GoBack"/>
            <w:r w:rsidR="009B73E3" w:rsidRPr="009B73E3">
              <w:rPr>
                <w:rFonts w:ascii="Century Gothic" w:hAnsi="Century Gothic"/>
                <w:b/>
                <w:szCs w:val="24"/>
              </w:rPr>
              <w:t xml:space="preserve"> in our changing world.</w:t>
            </w:r>
            <w:bookmarkEnd w:id="0"/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0FC4226E" w:rsidR="000A3DAE" w:rsidRPr="00C35246" w:rsidRDefault="00973C30" w:rsidP="001A0CE4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</w:t>
            </w:r>
            <w:r w:rsidR="001A0CE4">
              <w:rPr>
                <w:rFonts w:ascii="Century Gothic" w:hAnsi="Century Gothic"/>
                <w:b/>
                <w:sz w:val="24"/>
                <w:szCs w:val="24"/>
              </w:rPr>
              <w:t>Ann Donaghy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SEL Liaison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7B70963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40A0E">
              <w:rPr>
                <w:rFonts w:ascii="Century Gothic" w:hAnsi="Century Gothic"/>
                <w:b/>
                <w:sz w:val="24"/>
                <w:szCs w:val="24"/>
              </w:rPr>
              <w:t xml:space="preserve"> Bree </w:t>
            </w:r>
            <w:proofErr w:type="spellStart"/>
            <w:r w:rsidR="00440A0E">
              <w:rPr>
                <w:rFonts w:ascii="Century Gothic" w:hAnsi="Century Gothic"/>
                <w:b/>
                <w:sz w:val="24"/>
                <w:szCs w:val="24"/>
              </w:rPr>
              <w:t>Miron</w:t>
            </w:r>
            <w:proofErr w:type="spellEnd"/>
            <w:r w:rsidR="001E212A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Assistant Principal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70200D93" w:rsidR="0036007A" w:rsidRPr="00C35246" w:rsidRDefault="00973C30" w:rsidP="00440A0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1E212A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0B5BBC6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0E619011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726984A3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CHAMPS</w:t>
            </w:r>
          </w:p>
          <w:p w14:paraId="3267E130" w14:textId="3E1EACF6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Character Education</w:t>
            </w:r>
          </w:p>
          <w:p w14:paraId="0EBC7CD2" w14:textId="6F62B218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S</w:t>
            </w:r>
            <w:r w:rsidR="001E212A">
              <w:rPr>
                <w:rFonts w:ascii="Century Gothic" w:hAnsi="Century Gothic"/>
                <w:b/>
                <w:sz w:val="24"/>
              </w:rPr>
              <w:t xml:space="preserve">tart </w:t>
            </w:r>
            <w:proofErr w:type="gramStart"/>
            <w:r w:rsidR="001E212A">
              <w:rPr>
                <w:rFonts w:ascii="Century Gothic" w:hAnsi="Century Gothic"/>
                <w:b/>
                <w:sz w:val="24"/>
              </w:rPr>
              <w:t>With</w:t>
            </w:r>
            <w:proofErr w:type="gramEnd"/>
            <w:r w:rsidR="001E212A">
              <w:rPr>
                <w:rFonts w:ascii="Century Gothic" w:hAnsi="Century Gothic"/>
                <w:b/>
                <w:sz w:val="24"/>
              </w:rPr>
              <w:t xml:space="preserve"> Hello</w:t>
            </w:r>
          </w:p>
          <w:p w14:paraId="48B92E00" w14:textId="38573C07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4.</w:t>
            </w:r>
            <w:r w:rsidR="001A0CE4">
              <w:rPr>
                <w:rFonts w:ascii="Century Gothic" w:hAnsi="Century Gothic"/>
                <w:b/>
                <w:sz w:val="24"/>
              </w:rPr>
              <w:t xml:space="preserve"> </w:t>
            </w:r>
            <w:r w:rsidR="001E212A">
              <w:rPr>
                <w:rFonts w:ascii="Century Gothic" w:hAnsi="Century Gothic"/>
                <w:b/>
                <w:sz w:val="24"/>
              </w:rPr>
              <w:t>Be the 1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10C29558" w:rsidR="00C35246" w:rsidRPr="000A0148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1E212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1E212A" w:rsidRPr="001E212A">
                    <w:rPr>
                      <w:rFonts w:ascii="Century Gothic" w:hAnsi="Century Gothic"/>
                      <w:sz w:val="24"/>
                    </w:rPr>
                    <w:t>Champs, Shared classroom norms, modeling behavior, proactive classroom management, behavior charts, read aloud.</w:t>
                  </w:r>
                  <w:r w:rsidR="001E212A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="000A0148">
                    <w:rPr>
                      <w:rFonts w:ascii="Century Gothic" w:hAnsi="Century Gothic"/>
                      <w:sz w:val="24"/>
                    </w:rPr>
                    <w:t>Students participate and learn about Character Education and practice mindfulness using inner explorer in the classroom.</w:t>
                  </w: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108D7935" w14:textId="620D4D93" w:rsidR="00C35246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Character Education, positive reinforcement, praise work and effort, follow up on concerns, communication with parents/counselor.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lastRenderedPageBreak/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1EADBC2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2CD2EE16" w:rsidR="00C35246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Praise work and effort, display student work, homework planner, group</w:t>
                  </w:r>
                  <w:r w:rsidR="000A0148">
                    <w:rPr>
                      <w:rFonts w:ascii="Century Gothic" w:hAnsi="Century Gothic"/>
                      <w:sz w:val="24"/>
                    </w:rPr>
                    <w:t xml:space="preserve"> projects, behavior charts, Response </w:t>
                  </w:r>
                  <w:proofErr w:type="gramStart"/>
                  <w:r w:rsidR="000A0148">
                    <w:rPr>
                      <w:rFonts w:ascii="Century Gothic" w:hAnsi="Century Gothic"/>
                      <w:sz w:val="24"/>
                    </w:rPr>
                    <w:t>To</w:t>
                  </w:r>
                  <w:proofErr w:type="gramEnd"/>
                  <w:r w:rsidR="000A0148">
                    <w:rPr>
                      <w:rFonts w:ascii="Century Gothic" w:hAnsi="Century Gothic"/>
                      <w:sz w:val="24"/>
                    </w:rPr>
                    <w:t xml:space="preserve"> Intervention (RTI), Ho</w:t>
                  </w:r>
                  <w:r>
                    <w:rPr>
                      <w:rFonts w:ascii="Century Gothic" w:hAnsi="Century Gothic"/>
                      <w:sz w:val="24"/>
                    </w:rPr>
                    <w:t>nor Roll</w:t>
                  </w:r>
                  <w:r w:rsidR="000A0148">
                    <w:rPr>
                      <w:rFonts w:ascii="Century Gothic" w:hAnsi="Century Gothic"/>
                      <w:sz w:val="24"/>
                    </w:rPr>
                    <w:t xml:space="preserve">. Each month we have a Character Education party for students who have outstandingly demonstrated the character trait of the month. </w:t>
                  </w:r>
                </w:p>
                <w:p w14:paraId="5CFF025D" w14:textId="77777777" w:rsidR="001E212A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5FDB4C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9F1AFF8" w14:textId="7A06C4EE" w:rsidR="00C35246" w:rsidRP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1E212A">
                    <w:rPr>
                      <w:rFonts w:ascii="Century Gothic" w:hAnsi="Century Gothic"/>
                      <w:sz w:val="24"/>
                    </w:rPr>
                    <w:t>Peace week activities, Start with Hello activities, Character Ed., classroom meetings, counselor</w:t>
                  </w:r>
                  <w:r>
                    <w:rPr>
                      <w:rFonts w:ascii="Century Gothic" w:hAnsi="Century Gothic"/>
                      <w:sz w:val="24"/>
                    </w:rPr>
                    <w:t xml:space="preserve"> meetings, No Name Calling week, Read </w:t>
                  </w:r>
                  <w:r w:rsidR="00440A0E">
                    <w:rPr>
                      <w:rFonts w:ascii="Century Gothic" w:hAnsi="Century Gothic"/>
                      <w:sz w:val="24"/>
                    </w:rPr>
                    <w:t>aloud</w:t>
                  </w:r>
                  <w:r>
                    <w:rPr>
                      <w:rFonts w:ascii="Century Gothic" w:hAnsi="Century Gothic"/>
                      <w:sz w:val="24"/>
                    </w:rPr>
                    <w:t>.</w:t>
                  </w:r>
                  <w:r w:rsidRPr="001E212A">
                    <w:rPr>
                      <w:rFonts w:ascii="Century Gothic" w:hAnsi="Century Gothic"/>
                      <w:sz w:val="24"/>
                    </w:rPr>
                    <w:t xml:space="preserve"> </w:t>
                  </w: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76CBCC76" w:rsidR="00C35246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Classroom meetings, peer mediation, celebrating diversity, counselor meetings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257A8D3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1333804" w14:textId="3F3702B4" w:rsidR="00C35246" w:rsidRP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Start with Hello program, modeling appropriate behavior, correcting behavior, Listener program, mentoring</w:t>
                  </w: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DA3625">
              <w:trPr>
                <w:trHeight w:val="548"/>
              </w:trPr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5ECB5DE1" w:rsidR="00C35246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Peace week activities, Character Ed., Start with Hello activities, LEAPS lessons, conflict mediation</w:t>
                  </w:r>
                </w:p>
                <w:p w14:paraId="3E0A7F47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C1AA4C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7AF07D8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00CCA1F8" w14:textId="77777777" w:rsid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1E212A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F3E4EC7" w14:textId="3ADD75DA" w:rsidR="00C35246" w:rsidRPr="005C76BB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Start with Hello, Character Ed., classroom meetings, meet with counselor, parent meetings, LEAPS, Family Life and Human Sexuality curriculum. </w:t>
                  </w: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16B5C9C3" w:rsidR="00C35246" w:rsidRPr="001E212A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Homework planner, counselor meetings, conflict mediation, LEAPS, Anti-bullying activities</w:t>
                  </w: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58C6F5EA" w:rsidR="00C35246" w:rsidRDefault="001E212A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Peace week, Character Ed., HERO, red ribbon week, Harvest Drive</w:t>
                  </w:r>
                  <w:r w:rsidR="005C3A00">
                    <w:rPr>
                      <w:rFonts w:ascii="Century Gothic" w:hAnsi="Century Gothic"/>
                      <w:sz w:val="24"/>
                    </w:rPr>
                    <w:t xml:space="preserve">, Anti-Bullying Week. 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DA3625">
        <w:trPr>
          <w:trHeight w:val="64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18680C3F" w:rsidR="00C35246" w:rsidRDefault="00440A0E" w:rsidP="005C76BB">
            <w:pPr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Open Sans" w:hAnsi="Open Sans"/>
                <w:color w:val="666666"/>
                <w:shd w:val="clear" w:color="auto" w:fill="FFFFFF"/>
              </w:rPr>
              <w:t xml:space="preserve">Our school-wide police and practices support social and emotional learning by creating a safe and supportive learning environment. It also teaches students the prosocial skills they need to be successful in school and in life. </w:t>
            </w:r>
            <w:r w:rsidR="000A0148">
              <w:rPr>
                <w:rFonts w:ascii="Open Sans" w:hAnsi="Open Sans"/>
                <w:color w:val="666666"/>
                <w:shd w:val="clear" w:color="auto" w:fill="FFFFFF"/>
              </w:rPr>
              <w:t xml:space="preserve">We use Character Education, Inner Explorer and Classroom Meetings school-wide to teach and support Social emotional learning. </w:t>
            </w: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440A0E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440A0E" w:rsidRPr="005C76BB" w14:paraId="08E76AE4" w14:textId="77777777" w:rsidTr="00440A0E">
        <w:trPr>
          <w:trHeight w:val="1025"/>
        </w:trPr>
        <w:tc>
          <w:tcPr>
            <w:tcW w:w="3366" w:type="dxa"/>
          </w:tcPr>
          <w:p w14:paraId="1315112B" w14:textId="45390561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Attend team leader meetings to discuss student needs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034F1B97" w14:textId="59AC72B4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Ann Donaghy</w:t>
            </w:r>
          </w:p>
        </w:tc>
        <w:tc>
          <w:tcPr>
            <w:tcW w:w="3332" w:type="dxa"/>
          </w:tcPr>
          <w:p w14:paraId="0CE22728" w14:textId="37902A56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Needs assessment</w:t>
            </w:r>
          </w:p>
        </w:tc>
        <w:tc>
          <w:tcPr>
            <w:tcW w:w="2940" w:type="dxa"/>
            <w:gridSpan w:val="2"/>
          </w:tcPr>
          <w:p w14:paraId="5B04DEF5" w14:textId="10D5810F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Completed needs assessment</w:t>
            </w:r>
          </w:p>
        </w:tc>
        <w:tc>
          <w:tcPr>
            <w:tcW w:w="2357" w:type="dxa"/>
          </w:tcPr>
          <w:p w14:paraId="64EA3B07" w14:textId="69C4E1AE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10/1/2018</w:t>
            </w:r>
          </w:p>
        </w:tc>
      </w:tr>
      <w:tr w:rsidR="00440A0E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5C8EA770" w14:textId="47F5021A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Present information at staff collaboration meetings</w:t>
            </w:r>
          </w:p>
        </w:tc>
        <w:tc>
          <w:tcPr>
            <w:tcW w:w="2333" w:type="dxa"/>
          </w:tcPr>
          <w:p w14:paraId="67BA60B5" w14:textId="1D5E6D4C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Ann Donaghy</w:t>
            </w:r>
          </w:p>
        </w:tc>
        <w:tc>
          <w:tcPr>
            <w:tcW w:w="3332" w:type="dxa"/>
          </w:tcPr>
          <w:p w14:paraId="741CE49B" w14:textId="0B3F8196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Various</w:t>
            </w:r>
          </w:p>
        </w:tc>
        <w:tc>
          <w:tcPr>
            <w:tcW w:w="2940" w:type="dxa"/>
            <w:gridSpan w:val="2"/>
          </w:tcPr>
          <w:p w14:paraId="137AFAE2" w14:textId="3B0A31E4" w:rsidR="005C76BB" w:rsidRPr="005C76BB" w:rsidRDefault="000A014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Agenda’s and sign-in sheets</w:t>
            </w:r>
          </w:p>
        </w:tc>
        <w:tc>
          <w:tcPr>
            <w:tcW w:w="2357" w:type="dxa"/>
          </w:tcPr>
          <w:p w14:paraId="6FF76B38" w14:textId="47C3B3CC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Continuous </w:t>
            </w:r>
          </w:p>
        </w:tc>
      </w:tr>
      <w:tr w:rsidR="00440A0E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6AAA9DBB" w:rsidR="005C76BB" w:rsidRPr="005C76BB" w:rsidRDefault="000A014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Classroom Meetings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2E720EC3" w:rsidR="005C76BB" w:rsidRPr="005C76BB" w:rsidRDefault="000A014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Vince Watson</w:t>
            </w:r>
          </w:p>
        </w:tc>
        <w:tc>
          <w:tcPr>
            <w:tcW w:w="3332" w:type="dxa"/>
          </w:tcPr>
          <w:p w14:paraId="514CC7C4" w14:textId="68AD2408" w:rsidR="005C76BB" w:rsidRPr="005C76BB" w:rsidRDefault="000A014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Classroom Meetings curriculum</w:t>
            </w:r>
          </w:p>
        </w:tc>
        <w:tc>
          <w:tcPr>
            <w:tcW w:w="2940" w:type="dxa"/>
            <w:gridSpan w:val="2"/>
          </w:tcPr>
          <w:p w14:paraId="09989D4C" w14:textId="6B90FC29" w:rsidR="005C76BB" w:rsidRPr="005C76BB" w:rsidRDefault="000A014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Agenda’s and sign-in sheets</w:t>
            </w:r>
          </w:p>
        </w:tc>
        <w:tc>
          <w:tcPr>
            <w:tcW w:w="2357" w:type="dxa"/>
          </w:tcPr>
          <w:p w14:paraId="3ED72016" w14:textId="554C34E6" w:rsidR="005C76BB" w:rsidRPr="005C76BB" w:rsidRDefault="000A0148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continuous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440A0E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440A0E" w:rsidRPr="005C76BB" w14:paraId="39DC539F" w14:textId="77777777" w:rsidTr="00C35246">
        <w:tc>
          <w:tcPr>
            <w:tcW w:w="3366" w:type="dxa"/>
          </w:tcPr>
          <w:p w14:paraId="20B0A611" w14:textId="41EB3C02" w:rsidR="005C76BB" w:rsidRPr="005C76BB" w:rsidRDefault="00DA362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At least a 2% decline in the number of academic </w:t>
            </w:r>
            <w:proofErr w:type="gramStart"/>
            <w:r>
              <w:rPr>
                <w:rFonts w:ascii="Century Gothic" w:hAnsi="Century Gothic"/>
                <w:sz w:val="24"/>
              </w:rPr>
              <w:t>RTI(</w:t>
            </w:r>
            <w:proofErr w:type="gramEnd"/>
            <w:r>
              <w:rPr>
                <w:rFonts w:ascii="Century Gothic" w:hAnsi="Century Gothic"/>
                <w:sz w:val="24"/>
              </w:rPr>
              <w:t xml:space="preserve">Response to Intervention) referrals. </w:t>
            </w: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2A04D76" w14:textId="120487F0" w:rsidR="005C76BB" w:rsidRPr="005C76BB" w:rsidRDefault="00DA362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RTI Team/Teachers</w:t>
            </w:r>
          </w:p>
        </w:tc>
        <w:tc>
          <w:tcPr>
            <w:tcW w:w="3332" w:type="dxa"/>
          </w:tcPr>
          <w:p w14:paraId="7AC878B6" w14:textId="6EBE6498" w:rsidR="005C76BB" w:rsidRPr="005C76BB" w:rsidRDefault="00DA362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BASIS/RTI referral system</w:t>
            </w:r>
          </w:p>
        </w:tc>
        <w:tc>
          <w:tcPr>
            <w:tcW w:w="2940" w:type="dxa"/>
            <w:gridSpan w:val="2"/>
          </w:tcPr>
          <w:p w14:paraId="77CBDDF1" w14:textId="65671672" w:rsidR="005C76BB" w:rsidRPr="005C76BB" w:rsidRDefault="00DA3625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Looking at total number of referrals</w:t>
            </w:r>
          </w:p>
        </w:tc>
        <w:tc>
          <w:tcPr>
            <w:tcW w:w="2357" w:type="dxa"/>
          </w:tcPr>
          <w:p w14:paraId="630E6241" w14:textId="00CC61C6" w:rsidR="005C76BB" w:rsidRPr="005C76BB" w:rsidRDefault="00440A0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continuous</w:t>
            </w:r>
          </w:p>
        </w:tc>
      </w:tr>
      <w:tr w:rsidR="00440A0E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6C33638E" w:rsidR="00AA52FA" w:rsidRPr="005C76BB" w:rsidRDefault="00DA3625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At least a 2% decline in office discipline</w:t>
            </w:r>
            <w:r w:rsidR="00440A0E">
              <w:rPr>
                <w:rFonts w:ascii="Century Gothic" w:hAnsi="Century Gothic"/>
                <w:sz w:val="24"/>
              </w:rPr>
              <w:t xml:space="preserve"> referrals</w:t>
            </w:r>
            <w:r>
              <w:rPr>
                <w:rFonts w:ascii="Century Gothic" w:hAnsi="Century Gothic"/>
                <w:sz w:val="24"/>
              </w:rPr>
              <w:t xml:space="preserve"> in the area of Unruly/Disruptive behavior. 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10A7AF55" w14:textId="18A8E2D2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Administrators</w:t>
            </w:r>
          </w:p>
        </w:tc>
        <w:tc>
          <w:tcPr>
            <w:tcW w:w="3332" w:type="dxa"/>
          </w:tcPr>
          <w:p w14:paraId="0BFDFAAB" w14:textId="0A7F3C65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Behavior data</w:t>
            </w:r>
            <w:r w:rsidR="00DA3625">
              <w:rPr>
                <w:rFonts w:ascii="Century Gothic" w:hAnsi="Century Gothic"/>
                <w:sz w:val="24"/>
              </w:rPr>
              <w:t>/BASIS</w:t>
            </w:r>
          </w:p>
        </w:tc>
        <w:tc>
          <w:tcPr>
            <w:tcW w:w="2940" w:type="dxa"/>
            <w:gridSpan w:val="2"/>
          </w:tcPr>
          <w:p w14:paraId="29861ABC" w14:textId="07039ED9" w:rsidR="00AA52FA" w:rsidRPr="005C76BB" w:rsidRDefault="00DA3625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  <w:r w:rsidR="000A0148">
              <w:rPr>
                <w:rFonts w:ascii="Century Gothic" w:hAnsi="Century Gothic"/>
                <w:sz w:val="24"/>
              </w:rPr>
              <w:t xml:space="preserve">% </w:t>
            </w:r>
            <w:r w:rsidR="00440A0E">
              <w:rPr>
                <w:rFonts w:ascii="Century Gothic" w:hAnsi="Century Gothic"/>
                <w:sz w:val="24"/>
              </w:rPr>
              <w:t>Decline in referrals</w:t>
            </w:r>
          </w:p>
        </w:tc>
        <w:tc>
          <w:tcPr>
            <w:tcW w:w="2357" w:type="dxa"/>
          </w:tcPr>
          <w:p w14:paraId="18BC6302" w14:textId="32128EA1" w:rsidR="00AA52FA" w:rsidRPr="005C76BB" w:rsidRDefault="00440A0E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continuous</w:t>
            </w:r>
          </w:p>
        </w:tc>
      </w:tr>
      <w:tr w:rsidR="00440A0E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73B3A3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3332" w:type="dxa"/>
          </w:tcPr>
          <w:p w14:paraId="76352DC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940" w:type="dxa"/>
            <w:gridSpan w:val="2"/>
          </w:tcPr>
          <w:p w14:paraId="712A88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57" w:type="dxa"/>
          </w:tcPr>
          <w:p w14:paraId="07B4590A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4B1A1" w14:textId="77777777" w:rsidR="00133824" w:rsidRDefault="00133824" w:rsidP="0036007A">
      <w:pPr>
        <w:spacing w:after="0" w:line="240" w:lineRule="auto"/>
      </w:pPr>
      <w:r>
        <w:separator/>
      </w:r>
    </w:p>
  </w:endnote>
  <w:endnote w:type="continuationSeparator" w:id="0">
    <w:p w14:paraId="1BA266EC" w14:textId="77777777" w:rsidR="00133824" w:rsidRDefault="00133824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DA3625">
          <w:rPr>
            <w:rFonts w:ascii="Century Gothic" w:hAnsi="Century Gothic"/>
            <w:b/>
            <w:noProof/>
            <w:sz w:val="20"/>
            <w:szCs w:val="20"/>
          </w:rPr>
          <w:t>4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2E65D" w14:textId="77777777" w:rsidR="00133824" w:rsidRDefault="00133824" w:rsidP="0036007A">
      <w:pPr>
        <w:spacing w:after="0" w:line="240" w:lineRule="auto"/>
      </w:pPr>
      <w:r>
        <w:separator/>
      </w:r>
    </w:p>
  </w:footnote>
  <w:footnote w:type="continuationSeparator" w:id="0">
    <w:p w14:paraId="4DB35B9B" w14:textId="77777777" w:rsidR="00133824" w:rsidRDefault="00133824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7A"/>
    <w:rsid w:val="0000537D"/>
    <w:rsid w:val="000708A0"/>
    <w:rsid w:val="000A0148"/>
    <w:rsid w:val="000A3DAE"/>
    <w:rsid w:val="000F4F27"/>
    <w:rsid w:val="0010459B"/>
    <w:rsid w:val="00126073"/>
    <w:rsid w:val="00133824"/>
    <w:rsid w:val="001676CF"/>
    <w:rsid w:val="001A0383"/>
    <w:rsid w:val="001A0CE4"/>
    <w:rsid w:val="001A39E4"/>
    <w:rsid w:val="001E212A"/>
    <w:rsid w:val="00237BBE"/>
    <w:rsid w:val="00253CAF"/>
    <w:rsid w:val="00254AC3"/>
    <w:rsid w:val="00264824"/>
    <w:rsid w:val="002946BC"/>
    <w:rsid w:val="002B27C5"/>
    <w:rsid w:val="002E2A02"/>
    <w:rsid w:val="00332408"/>
    <w:rsid w:val="0033304F"/>
    <w:rsid w:val="0036007A"/>
    <w:rsid w:val="003614CC"/>
    <w:rsid w:val="00365B91"/>
    <w:rsid w:val="00377894"/>
    <w:rsid w:val="003F1EAA"/>
    <w:rsid w:val="00402ADF"/>
    <w:rsid w:val="00415041"/>
    <w:rsid w:val="0042332E"/>
    <w:rsid w:val="00440A0E"/>
    <w:rsid w:val="00444387"/>
    <w:rsid w:val="00462C0F"/>
    <w:rsid w:val="00483690"/>
    <w:rsid w:val="00490F0E"/>
    <w:rsid w:val="004C3CEB"/>
    <w:rsid w:val="004F4DD8"/>
    <w:rsid w:val="005406AD"/>
    <w:rsid w:val="005A1B01"/>
    <w:rsid w:val="005B15B4"/>
    <w:rsid w:val="005C3A00"/>
    <w:rsid w:val="005C76BB"/>
    <w:rsid w:val="005D4A75"/>
    <w:rsid w:val="005F6DFB"/>
    <w:rsid w:val="00616348"/>
    <w:rsid w:val="00636BBC"/>
    <w:rsid w:val="0068671F"/>
    <w:rsid w:val="00745ADA"/>
    <w:rsid w:val="007A6C10"/>
    <w:rsid w:val="007B52A3"/>
    <w:rsid w:val="007B56BB"/>
    <w:rsid w:val="007B6A78"/>
    <w:rsid w:val="007F089F"/>
    <w:rsid w:val="00836712"/>
    <w:rsid w:val="008C6498"/>
    <w:rsid w:val="008F509E"/>
    <w:rsid w:val="008F7257"/>
    <w:rsid w:val="009670E2"/>
    <w:rsid w:val="00973C30"/>
    <w:rsid w:val="009770CA"/>
    <w:rsid w:val="009B73E3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3798F"/>
    <w:rsid w:val="00D473D3"/>
    <w:rsid w:val="00D57662"/>
    <w:rsid w:val="00DA3625"/>
    <w:rsid w:val="00DB799E"/>
    <w:rsid w:val="00E22619"/>
    <w:rsid w:val="00E46D62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50FFFAA4-401D-42C2-924F-49CB01A5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D238-3E52-43F1-84FD-4B6981E9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Martha E. Houck</cp:lastModifiedBy>
  <cp:revision>3</cp:revision>
  <cp:lastPrinted>2018-09-17T14:41:00Z</cp:lastPrinted>
  <dcterms:created xsi:type="dcterms:W3CDTF">2018-11-30T20:16:00Z</dcterms:created>
  <dcterms:modified xsi:type="dcterms:W3CDTF">2018-11-30T20:18:00Z</dcterms:modified>
</cp:coreProperties>
</file>