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599"/>
        <w:gridCol w:w="2738"/>
        <w:gridCol w:w="3427"/>
        <w:gridCol w:w="417"/>
        <w:gridCol w:w="1635"/>
        <w:gridCol w:w="2738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6E8C0019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031C81">
              <w:rPr>
                <w:rFonts w:ascii="Century Gothic" w:hAnsi="Century Gothic"/>
                <w:sz w:val="24"/>
                <w:szCs w:val="24"/>
              </w:rPr>
              <w:t xml:space="preserve"> Dillard Elementary </w:t>
            </w:r>
          </w:p>
        </w:tc>
        <w:tc>
          <w:tcPr>
            <w:tcW w:w="4703" w:type="dxa"/>
            <w:gridSpan w:val="2"/>
          </w:tcPr>
          <w:p w14:paraId="42A7A2A1" w14:textId="50282573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031C81">
              <w:rPr>
                <w:rFonts w:ascii="Century Gothic" w:hAnsi="Century Gothic"/>
                <w:b/>
                <w:sz w:val="24"/>
                <w:szCs w:val="28"/>
              </w:rPr>
              <w:t xml:space="preserve"> 2018-19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40FD0A21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031C81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31C81" w:rsidRPr="00B8074A">
              <w:rPr>
                <w:rFonts w:ascii="Century Gothic" w:hAnsi="Century Gothic"/>
                <w:sz w:val="24"/>
                <w:szCs w:val="24"/>
              </w:rPr>
              <w:t>Gretchen Atkins-Brown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0E19EBE1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031C81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31C81" w:rsidRPr="00F24BFF">
              <w:rPr>
                <w:rFonts w:ascii="Century Gothic" w:hAnsi="Century Gothic"/>
                <w:sz w:val="24"/>
                <w:szCs w:val="24"/>
              </w:rPr>
              <w:t>Angela Fulton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3B14B3B8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14:paraId="7BA79944" w14:textId="67D4F768" w:rsidR="00FC05D1" w:rsidRPr="00675375" w:rsidRDefault="00675375" w:rsidP="0036007A">
            <w:pPr>
              <w:rPr>
                <w:rFonts w:ascii="Century Gothic" w:hAnsi="Century Gothic"/>
                <w:sz w:val="24"/>
              </w:rPr>
            </w:pPr>
            <w:r w:rsidRPr="00675375">
              <w:rPr>
                <w:rFonts w:ascii="Century Gothic" w:hAnsi="Century Gothic"/>
                <w:sz w:val="24"/>
              </w:rPr>
              <w:t>The mission of Dillard Elementary School is to afford each student the opportunity to receive a quality education within a safe and secure learning environment.</w:t>
            </w: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6E850B4B" w:rsidR="00332408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010F3975" w14:textId="4F20C907" w:rsidR="00943B32" w:rsidRPr="00C35246" w:rsidRDefault="00943B32" w:rsidP="00332408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Dillard Elementary is a place where students are encouraged to strive for excellence academically, socially, and emotionally in a safe place. Our goal is to work in partnership with our parents and community. 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31D0E10B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  <w:r w:rsidR="00675375">
              <w:rPr>
                <w:rFonts w:ascii="Century Gothic" w:hAnsi="Century Gothic"/>
                <w:b/>
                <w:sz w:val="24"/>
                <w:szCs w:val="24"/>
              </w:rPr>
              <w:t>: Marisa Dukes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SEL Liaison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6CB0FA72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675375">
              <w:rPr>
                <w:rFonts w:ascii="Century Gothic" w:hAnsi="Century Gothic"/>
                <w:b/>
                <w:sz w:val="24"/>
                <w:szCs w:val="24"/>
              </w:rPr>
              <w:t xml:space="preserve"> Willie Williams                                                                                                                       Guidance Counselor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7458E8E3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675375">
              <w:rPr>
                <w:rFonts w:ascii="Century Gothic" w:hAnsi="Century Gothic"/>
                <w:b/>
                <w:sz w:val="24"/>
                <w:szCs w:val="24"/>
              </w:rPr>
              <w:t xml:space="preserve"> Wynell Fuller                                                                                                                         Social Worker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1717360D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67537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F24BFF">
              <w:rPr>
                <w:rFonts w:ascii="Century Gothic" w:hAnsi="Century Gothic"/>
                <w:b/>
                <w:sz w:val="24"/>
                <w:szCs w:val="24"/>
              </w:rPr>
              <w:t>Daphanie</w:t>
            </w:r>
            <w:proofErr w:type="spellEnd"/>
            <w:r w:rsidR="00F24BFF">
              <w:rPr>
                <w:rFonts w:ascii="Century Gothic" w:hAnsi="Century Gothic"/>
                <w:b/>
                <w:sz w:val="24"/>
                <w:szCs w:val="24"/>
              </w:rPr>
              <w:t xml:space="preserve"> Reeves</w:t>
            </w:r>
            <w:r w:rsidR="00675375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F24BFF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Community Liaison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1C27F301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Name: </w:t>
            </w:r>
            <w:r w:rsidR="00BD401D">
              <w:rPr>
                <w:rFonts w:ascii="Century Gothic" w:hAnsi="Century Gothic"/>
                <w:b/>
                <w:sz w:val="24"/>
                <w:szCs w:val="24"/>
              </w:rPr>
              <w:t>Gretchen Atkins-Brown                                                                                                         Principal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2DAD652E" w:rsidR="00B36D69" w:rsidRDefault="00126D3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Name: Priscilla Moore                                                                                                                       Pre-K Teacher/Team Leader</w:t>
            </w:r>
          </w:p>
        </w:tc>
      </w:tr>
      <w:tr w:rsidR="00126D39" w:rsidRPr="005C76BB" w14:paraId="123D056F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1ACEFFEE" w14:textId="700F5120" w:rsidR="00126D39" w:rsidRDefault="00126D3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Name: Adrienne Grace                                                                                                                    5</w:t>
            </w:r>
            <w:r w:rsidRPr="00126D39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Grade Teacher/Team Leader</w:t>
            </w:r>
          </w:p>
        </w:tc>
      </w:tr>
      <w:tr w:rsidR="00126D39" w:rsidRPr="005C76BB" w14:paraId="25CC8C75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6CFC4AC0" w14:textId="16E5C5FD" w:rsidR="00126D39" w:rsidRDefault="00126D3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Name: Nyree Kelly                                                                                                                            3</w:t>
            </w:r>
            <w:r w:rsidRPr="00126D39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Grade Teacher/Team Leader</w:t>
            </w:r>
          </w:p>
        </w:tc>
      </w:tr>
      <w:tr w:rsidR="00AB394E" w:rsidRPr="005C76BB" w14:paraId="1EC710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10300F49" w14:textId="6E733AA1" w:rsidR="00AB394E" w:rsidRDefault="00AB394E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Loreice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Glover                                                                                                                      ESE Specialist</w:t>
            </w: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31E64001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F24BFF">
              <w:rPr>
                <w:rFonts w:ascii="Century Gothic" w:hAnsi="Century Gothic"/>
                <w:b/>
                <w:sz w:val="24"/>
              </w:rPr>
              <w:t xml:space="preserve"> Counseling (Group &amp; Individual)</w:t>
            </w:r>
          </w:p>
          <w:p w14:paraId="3267E130" w14:textId="18D97EE6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F24BFF">
              <w:rPr>
                <w:rFonts w:ascii="Century Gothic" w:hAnsi="Century Gothic"/>
                <w:b/>
                <w:sz w:val="24"/>
              </w:rPr>
              <w:t xml:space="preserve"> Mentoring</w:t>
            </w:r>
          </w:p>
          <w:p w14:paraId="0EBC7CD2" w14:textId="0113BBF7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BD401D">
              <w:rPr>
                <w:rFonts w:ascii="Century Gothic" w:hAnsi="Century Gothic"/>
                <w:b/>
                <w:sz w:val="24"/>
              </w:rPr>
              <w:t xml:space="preserve"> Character Education</w:t>
            </w:r>
          </w:p>
          <w:p w14:paraId="48B92E00" w14:textId="4007D286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8D15FA">
              <w:rPr>
                <w:rFonts w:ascii="Century Gothic" w:hAnsi="Century Gothic"/>
                <w:b/>
                <w:sz w:val="24"/>
              </w:rPr>
              <w:t xml:space="preserve"> LEAPS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lastRenderedPageBreak/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0724482F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Strategies:</w:t>
                  </w:r>
                  <w:r w:rsidR="008D15FA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6530F124" w14:textId="458F4967" w:rsidR="00C35246" w:rsidRPr="005C76BB" w:rsidRDefault="003965D9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lastRenderedPageBreak/>
                    <w:t>Character Education</w:t>
                  </w:r>
                  <w:r w:rsidR="008D15FA">
                    <w:rPr>
                      <w:rFonts w:ascii="Century Gothic" w:hAnsi="Century Gothic"/>
                      <w:sz w:val="24"/>
                    </w:rPr>
                    <w:t xml:space="preserve"> is implemented school-wide by teachers.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Individual</w:t>
                  </w:r>
                  <w:r w:rsidR="008D15FA">
                    <w:rPr>
                      <w:rFonts w:ascii="Century Gothic" w:hAnsi="Century Gothic"/>
                      <w:sz w:val="24"/>
                    </w:rPr>
                    <w:t xml:space="preserve"> and Group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Counseling</w:t>
                  </w:r>
                  <w:r w:rsidR="008D15FA">
                    <w:rPr>
                      <w:rFonts w:ascii="Century Gothic" w:hAnsi="Century Gothic"/>
                      <w:sz w:val="24"/>
                    </w:rPr>
                    <w:t xml:space="preserve"> provided by Guidance Counselor.</w:t>
                  </w: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lastRenderedPageBreak/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3C0ECBD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013E85E9" w14:textId="77777777" w:rsidR="008D15FA" w:rsidRDefault="008D15F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Character Education is implemented school-wide by teachers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. </w:t>
                  </w:r>
                </w:p>
                <w:p w14:paraId="774E43D7" w14:textId="2F274A37" w:rsidR="00C35246" w:rsidRPr="005C76BB" w:rsidRDefault="008D15F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Also, students receive individual counseling from outside agencies, to support the</w:t>
                  </w:r>
                  <w:r w:rsidR="009A7600">
                    <w:rPr>
                      <w:rFonts w:ascii="Century Gothic" w:hAnsi="Century Gothic"/>
                      <w:sz w:val="24"/>
                    </w:rPr>
                    <w:t xml:space="preserve"> development of exhibiting </w:t>
                  </w:r>
                  <w:r>
                    <w:rPr>
                      <w:rFonts w:ascii="Century Gothic" w:hAnsi="Century Gothic"/>
                      <w:sz w:val="24"/>
                    </w:rPr>
                    <w:t>behavior</w:t>
                  </w:r>
                  <w:r w:rsidR="009A7600">
                    <w:rPr>
                      <w:rFonts w:ascii="Century Gothic" w:hAnsi="Century Gothic"/>
                      <w:sz w:val="24"/>
                    </w:rPr>
                    <w:t>s i.e. positive interactions with peers and adults.</w:t>
                  </w: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1EADBC2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E22BCD6" w14:textId="77777777" w:rsidR="00C35246" w:rsidRDefault="008D15FA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Individual and Group Counseling provided by Guidance Counselor</w:t>
                  </w:r>
                </w:p>
                <w:p w14:paraId="2E828BBE" w14:textId="22E3B0AF" w:rsidR="009A7600" w:rsidRPr="005C76BB" w:rsidRDefault="009A7600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Students are peered with Adult Mentors (school staff) to receive rewards and discuss positive action steps. Teachers have data chats with students to discuss their academic/behavior goals and track their progress.</w:t>
                  </w: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759FE25B" w:rsidR="00C35246" w:rsidRPr="003965D9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3965D9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900924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900924" w:rsidRPr="00900924">
                    <w:rPr>
                      <w:rFonts w:ascii="Century Gothic" w:hAnsi="Century Gothic"/>
                      <w:sz w:val="24"/>
                    </w:rPr>
                    <w:t>Teachers will have</w:t>
                  </w:r>
                  <w:r w:rsidR="00900924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3965D9" w:rsidRPr="003965D9">
                    <w:rPr>
                      <w:rFonts w:ascii="Century Gothic" w:hAnsi="Century Gothic"/>
                      <w:sz w:val="24"/>
                    </w:rPr>
                    <w:t>Classroom Meetings</w:t>
                  </w:r>
                  <w:r w:rsidR="00900924">
                    <w:rPr>
                      <w:rFonts w:ascii="Century Gothic" w:hAnsi="Century Gothic"/>
                      <w:sz w:val="24"/>
                    </w:rPr>
                    <w:t xml:space="preserve"> and the Guidance Counselor will conduct </w:t>
                  </w:r>
                  <w:r w:rsidR="003965D9">
                    <w:rPr>
                      <w:rFonts w:ascii="Century Gothic" w:hAnsi="Century Gothic"/>
                      <w:sz w:val="24"/>
                    </w:rPr>
                    <w:t>Group</w:t>
                  </w:r>
                  <w:r w:rsidR="00900924">
                    <w:rPr>
                      <w:rFonts w:ascii="Century Gothic" w:hAnsi="Century Gothic"/>
                      <w:sz w:val="24"/>
                    </w:rPr>
                    <w:t>/Individual</w:t>
                  </w:r>
                  <w:r w:rsidR="003965D9">
                    <w:rPr>
                      <w:rFonts w:ascii="Century Gothic" w:hAnsi="Century Gothic"/>
                      <w:sz w:val="24"/>
                    </w:rPr>
                    <w:t xml:space="preserve"> Counseling</w:t>
                  </w:r>
                  <w:r w:rsidR="00900924">
                    <w:rPr>
                      <w:rFonts w:ascii="Century Gothic" w:hAnsi="Century Gothic"/>
                      <w:sz w:val="24"/>
                    </w:rPr>
                    <w:t xml:space="preserve"> as needed to support student development.</w:t>
                  </w: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1B8F109C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965D9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900924" w:rsidRPr="00900924">
                    <w:rPr>
                      <w:rFonts w:ascii="Century Gothic" w:hAnsi="Century Gothic"/>
                      <w:sz w:val="24"/>
                    </w:rPr>
                    <w:t>Teachers will have</w:t>
                  </w:r>
                  <w:r w:rsidR="00900924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900924" w:rsidRPr="003965D9">
                    <w:rPr>
                      <w:rFonts w:ascii="Century Gothic" w:hAnsi="Century Gothic"/>
                      <w:sz w:val="24"/>
                    </w:rPr>
                    <w:t>Classroom Meetings</w:t>
                  </w:r>
                  <w:r w:rsidR="00900924">
                    <w:rPr>
                      <w:rFonts w:ascii="Century Gothic" w:hAnsi="Century Gothic"/>
                      <w:sz w:val="24"/>
                    </w:rPr>
                    <w:t xml:space="preserve"> and the Guidance Counselor will conduct Group</w:t>
                  </w:r>
                  <w:r w:rsidR="00900924">
                    <w:rPr>
                      <w:rFonts w:ascii="Century Gothic" w:hAnsi="Century Gothic"/>
                      <w:sz w:val="24"/>
                    </w:rPr>
                    <w:t>/Individual</w:t>
                  </w:r>
                  <w:r w:rsidR="00900924">
                    <w:rPr>
                      <w:rFonts w:ascii="Century Gothic" w:hAnsi="Century Gothic"/>
                      <w:sz w:val="24"/>
                    </w:rPr>
                    <w:t xml:space="preserve"> Counseling as needed</w:t>
                  </w:r>
                  <w:r w:rsidR="00900924">
                    <w:rPr>
                      <w:rFonts w:ascii="Century Gothic" w:hAnsi="Century Gothic"/>
                      <w:sz w:val="24"/>
                    </w:rPr>
                    <w:t xml:space="preserve"> to support student development.</w:t>
                  </w:r>
                </w:p>
                <w:p w14:paraId="687750A0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36BB0E75" w:rsidR="00C35246" w:rsidRPr="00C27EE3" w:rsidRDefault="00C35246" w:rsidP="00C27EE3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965D9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C27EE3">
                    <w:rPr>
                      <w:rFonts w:ascii="Century Gothic" w:hAnsi="Century Gothic"/>
                      <w:sz w:val="24"/>
                    </w:rPr>
                    <w:t>Individual and Group Counseling provided by Guidance Counselor</w:t>
                  </w:r>
                  <w:r w:rsidR="00C27EE3">
                    <w:rPr>
                      <w:rFonts w:ascii="Century Gothic" w:hAnsi="Century Gothic"/>
                      <w:sz w:val="24"/>
                    </w:rPr>
                    <w:t xml:space="preserve">. </w:t>
                  </w:r>
                  <w:r w:rsidR="00C27EE3">
                    <w:rPr>
                      <w:rFonts w:ascii="Century Gothic" w:hAnsi="Century Gothic"/>
                      <w:sz w:val="24"/>
                    </w:rPr>
                    <w:t>Students are peered with Adult Mentors (school staff) to discuss</w:t>
                  </w:r>
                  <w:r w:rsidR="00C27EE3">
                    <w:rPr>
                      <w:rFonts w:ascii="Century Gothic" w:hAnsi="Century Gothic"/>
                      <w:sz w:val="24"/>
                    </w:rPr>
                    <w:t xml:space="preserve"> how to have</w:t>
                  </w:r>
                  <w:r w:rsidR="00C27EE3">
                    <w:rPr>
                      <w:rFonts w:ascii="Century Gothic" w:hAnsi="Century Gothic"/>
                      <w:sz w:val="24"/>
                    </w:rPr>
                    <w:t xml:space="preserve"> positive </w:t>
                  </w:r>
                  <w:r w:rsidR="00C27EE3">
                    <w:rPr>
                      <w:rFonts w:ascii="Century Gothic" w:hAnsi="Century Gothic"/>
                      <w:sz w:val="24"/>
                    </w:rPr>
                    <w:t xml:space="preserve">interactions with other students and staff. </w:t>
                  </w:r>
                  <w:r w:rsidR="00C27EE3">
                    <w:rPr>
                      <w:rFonts w:ascii="Century Gothic" w:hAnsi="Century Gothic"/>
                      <w:sz w:val="24"/>
                    </w:rPr>
                    <w:t xml:space="preserve"> Teachers </w:t>
                  </w:r>
                  <w:r w:rsidR="00C27EE3">
                    <w:rPr>
                      <w:rFonts w:ascii="Century Gothic" w:hAnsi="Century Gothic"/>
                      <w:sz w:val="24"/>
                    </w:rPr>
                    <w:t>conferences</w:t>
                  </w:r>
                  <w:r w:rsidR="00C27EE3">
                    <w:rPr>
                      <w:rFonts w:ascii="Century Gothic" w:hAnsi="Century Gothic"/>
                      <w:sz w:val="24"/>
                    </w:rPr>
                    <w:t xml:space="preserve"> with students to discuss their behavior goals and track their progress</w:t>
                  </w:r>
                  <w:r w:rsidR="00C27EE3">
                    <w:rPr>
                      <w:rFonts w:ascii="Century Gothic" w:hAnsi="Century Gothic"/>
                      <w:sz w:val="24"/>
                    </w:rPr>
                    <w:t>.</w:t>
                  </w:r>
                  <w:bookmarkStart w:id="0" w:name="_GoBack"/>
                  <w:bookmarkEnd w:id="0"/>
                </w:p>
                <w:p w14:paraId="4133380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F7B13F4" w14:textId="77777777" w:rsidR="00900924" w:rsidRPr="005C76BB" w:rsidRDefault="00C35246" w:rsidP="00900924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420D2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900924" w:rsidRPr="00900924">
                    <w:rPr>
                      <w:rFonts w:ascii="Century Gothic" w:hAnsi="Century Gothic"/>
                      <w:sz w:val="24"/>
                    </w:rPr>
                    <w:t>Teachers will have</w:t>
                  </w:r>
                  <w:r w:rsidR="00900924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900924" w:rsidRPr="003965D9">
                    <w:rPr>
                      <w:rFonts w:ascii="Century Gothic" w:hAnsi="Century Gothic"/>
                      <w:sz w:val="24"/>
                    </w:rPr>
                    <w:t>Classroom Meetings</w:t>
                  </w:r>
                  <w:r w:rsidR="00900924">
                    <w:rPr>
                      <w:rFonts w:ascii="Century Gothic" w:hAnsi="Century Gothic"/>
                      <w:sz w:val="24"/>
                    </w:rPr>
                    <w:t xml:space="preserve"> and the Guidance Counselor will conduct Group/Individual Counseling as needed to support student development.</w:t>
                  </w:r>
                </w:p>
                <w:p w14:paraId="6132EED9" w14:textId="3A15C032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A01D8A4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4FA353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14611C82" w14:textId="4FEF0AE4" w:rsidR="00C35246" w:rsidRPr="005C76BB" w:rsidRDefault="009A7600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Character Education is implemented school-wide by teachers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. Additionally, students participate in bullying training to help with proactive strategies to decrease bullying occurrences. 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Students are peered with Adult Mentors (school staff) to receive rewards and discuss positive </w:t>
                  </w:r>
                  <w:r>
                    <w:rPr>
                      <w:rFonts w:ascii="Century Gothic" w:hAnsi="Century Gothic"/>
                      <w:sz w:val="24"/>
                    </w:rPr>
                    <w:t>alternatives to daily behavior.</w:t>
                  </w:r>
                  <w:r w:rsidRPr="005C76BB">
                    <w:rPr>
                      <w:rFonts w:ascii="Century Gothic" w:hAnsi="Century Gothic"/>
                      <w:sz w:val="24"/>
                    </w:rPr>
                    <w:t xml:space="preserve"> </w:t>
                  </w: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DD72F3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93E0179" w14:textId="77777777" w:rsidR="009A7600" w:rsidRDefault="009A7600" w:rsidP="009A7600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Character Education is implemented school-wide by teachers. </w:t>
                  </w:r>
                </w:p>
                <w:p w14:paraId="711CEC49" w14:textId="7E5F3477" w:rsidR="00C35246" w:rsidRPr="005C76BB" w:rsidRDefault="009A7600" w:rsidP="009A7600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Also, students receive individual counseling from outside agencies, to support the development of exhibiting behaviors i.e. positive </w:t>
                  </w:r>
                  <w:r>
                    <w:rPr>
                      <w:rFonts w:ascii="Century Gothic" w:hAnsi="Century Gothic"/>
                      <w:sz w:val="24"/>
                    </w:rPr>
                    <w:lastRenderedPageBreak/>
                    <w:t>interactions with peers and adults</w:t>
                  </w:r>
                  <w:r w:rsidR="0006115E">
                    <w:rPr>
                      <w:rFonts w:ascii="Century Gothic" w:hAnsi="Century Gothic"/>
                      <w:sz w:val="24"/>
                    </w:rPr>
                    <w:t>.</w:t>
                  </w: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233AC3A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56970E8E" w14:textId="77777777" w:rsidR="0006115E" w:rsidRDefault="0006115E" w:rsidP="0006115E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 xml:space="preserve">Character Education is implemented school-wide by teachers. </w:t>
                  </w:r>
                </w:p>
                <w:p w14:paraId="70FCABBA" w14:textId="7ED71A0C" w:rsidR="00F860CF" w:rsidRPr="005C76BB" w:rsidRDefault="0006115E" w:rsidP="0006115E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Also, students receive individual counseling from outside agencies, to support the development of exhibiting behaviors i.e. positive interactions with peers and adults</w:t>
                  </w:r>
                  <w:r>
                    <w:rPr>
                      <w:rFonts w:ascii="Century Gothic" w:hAnsi="Century Gothic"/>
                      <w:sz w:val="24"/>
                    </w:rPr>
                    <w:t>.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57FA14FE" w14:textId="2D25EFDA" w:rsidR="00C35246" w:rsidRPr="00F860CF" w:rsidRDefault="00F860CF" w:rsidP="005C76BB">
            <w:pPr>
              <w:rPr>
                <w:rFonts w:ascii="Century Gothic" w:hAnsi="Century Gothic"/>
                <w:bCs/>
                <w:sz w:val="24"/>
              </w:rPr>
            </w:pPr>
            <w:r w:rsidRPr="00F860CF">
              <w:rPr>
                <w:rFonts w:ascii="Century Gothic" w:hAnsi="Century Gothic"/>
                <w:bCs/>
                <w:sz w:val="24"/>
              </w:rPr>
              <w:t xml:space="preserve">Character Education Traits are </w:t>
            </w:r>
            <w:proofErr w:type="gramStart"/>
            <w:r w:rsidRPr="00F860CF">
              <w:rPr>
                <w:rFonts w:ascii="Century Gothic" w:hAnsi="Century Gothic"/>
                <w:bCs/>
                <w:sz w:val="24"/>
              </w:rPr>
              <w:t>emphasized</w:t>
            </w:r>
            <w:proofErr w:type="gramEnd"/>
            <w:r w:rsidRPr="00F860CF">
              <w:rPr>
                <w:rFonts w:ascii="Century Gothic" w:hAnsi="Century Gothic"/>
                <w:bCs/>
                <w:sz w:val="24"/>
              </w:rPr>
              <w:t xml:space="preserve"> and students are recognized monthly for displaying traits.</w:t>
            </w:r>
          </w:p>
          <w:p w14:paraId="236F3D96" w14:textId="684EE0A2" w:rsidR="00F860CF" w:rsidRPr="00F860CF" w:rsidRDefault="00F860CF" w:rsidP="005C76BB">
            <w:pPr>
              <w:rPr>
                <w:rFonts w:ascii="Century Gothic" w:hAnsi="Century Gothic"/>
                <w:bCs/>
                <w:sz w:val="24"/>
              </w:rPr>
            </w:pPr>
            <w:r w:rsidRPr="00F860CF">
              <w:rPr>
                <w:rFonts w:ascii="Century Gothic" w:hAnsi="Century Gothic"/>
                <w:bCs/>
                <w:sz w:val="24"/>
              </w:rPr>
              <w:t>Students receive counseling individually and or group sessions, as deemed appropriate</w:t>
            </w:r>
          </w:p>
          <w:p w14:paraId="350C8962" w14:textId="23B23EC8" w:rsidR="00F860CF" w:rsidRPr="00F860CF" w:rsidRDefault="00F860CF" w:rsidP="005C76BB">
            <w:pPr>
              <w:rPr>
                <w:rFonts w:ascii="Century Gothic" w:hAnsi="Century Gothic"/>
                <w:bCs/>
                <w:sz w:val="24"/>
              </w:rPr>
            </w:pPr>
            <w:r w:rsidRPr="00F860CF">
              <w:rPr>
                <w:rFonts w:ascii="Century Gothic" w:hAnsi="Century Gothic"/>
                <w:bCs/>
                <w:sz w:val="24"/>
              </w:rPr>
              <w:t>Students are encouraged to seek an adult they feel comfortable with to share emotions.</w:t>
            </w:r>
          </w:p>
          <w:p w14:paraId="081F4731" w14:textId="6B6C723C" w:rsidR="00F860CF" w:rsidRDefault="00F860CF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 w:rsidRPr="00F860CF">
              <w:rPr>
                <w:rFonts w:ascii="Century Gothic" w:hAnsi="Century Gothic"/>
                <w:bCs/>
                <w:sz w:val="24"/>
              </w:rPr>
              <w:t>Mentoring Programs are implemented</w:t>
            </w:r>
            <w:r>
              <w:rPr>
                <w:rFonts w:ascii="Century Gothic" w:hAnsi="Century Gothic"/>
                <w:b/>
                <w:bCs/>
                <w:sz w:val="24"/>
              </w:rPr>
              <w:t>.</w:t>
            </w: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C35246">
        <w:tc>
          <w:tcPr>
            <w:tcW w:w="3366" w:type="dxa"/>
          </w:tcPr>
          <w:p w14:paraId="1315112B" w14:textId="37E9418A" w:rsidR="005C76BB" w:rsidRPr="005C76BB" w:rsidRDefault="00F860CF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Professional Learning Focus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034F1B97" w14:textId="7BC6FAF8" w:rsidR="005C76BB" w:rsidRPr="005C76BB" w:rsidRDefault="00BD401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Marisa Dukes</w:t>
            </w:r>
          </w:p>
        </w:tc>
        <w:tc>
          <w:tcPr>
            <w:tcW w:w="3332" w:type="dxa"/>
          </w:tcPr>
          <w:p w14:paraId="0CE22728" w14:textId="710485B4" w:rsidR="005C76BB" w:rsidRPr="005C76BB" w:rsidRDefault="00BD401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Diversity, Prevention &amp; Intervention</w:t>
            </w:r>
            <w:r w:rsidR="0006115E">
              <w:rPr>
                <w:rFonts w:ascii="Century Gothic" w:hAnsi="Century Gothic"/>
                <w:sz w:val="24"/>
              </w:rPr>
              <w:t xml:space="preserve"> website</w:t>
            </w:r>
          </w:p>
        </w:tc>
        <w:tc>
          <w:tcPr>
            <w:tcW w:w="2940" w:type="dxa"/>
            <w:gridSpan w:val="2"/>
          </w:tcPr>
          <w:p w14:paraId="5B04DEF5" w14:textId="0A54019E" w:rsidR="005C76BB" w:rsidRPr="005C76BB" w:rsidRDefault="00BD401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Agendas, Sign-in Sheets</w:t>
            </w:r>
          </w:p>
        </w:tc>
        <w:tc>
          <w:tcPr>
            <w:tcW w:w="2357" w:type="dxa"/>
          </w:tcPr>
          <w:p w14:paraId="64EA3B07" w14:textId="22D96F2C" w:rsidR="005C76BB" w:rsidRPr="005C76BB" w:rsidRDefault="00BD401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24, 2019</w:t>
            </w:r>
          </w:p>
        </w:tc>
      </w:tr>
      <w:tr w:rsidR="005C76BB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1134C453" w:rsidR="005C76BB" w:rsidRPr="005C76BB" w:rsidRDefault="0090092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Social, Emotional Learning (</w:t>
            </w:r>
            <w:r w:rsidR="0006115E">
              <w:rPr>
                <w:rFonts w:ascii="Century Gothic" w:hAnsi="Century Gothic"/>
                <w:sz w:val="24"/>
              </w:rPr>
              <w:t>SEL</w:t>
            </w:r>
            <w:r>
              <w:rPr>
                <w:rFonts w:ascii="Century Gothic" w:hAnsi="Century Gothic"/>
                <w:sz w:val="24"/>
              </w:rPr>
              <w:t>)</w:t>
            </w:r>
            <w:r w:rsidR="0006115E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="0006115E">
              <w:rPr>
                <w:rFonts w:ascii="Century Gothic" w:hAnsi="Century Gothic"/>
                <w:sz w:val="24"/>
              </w:rPr>
              <w:t>Brainsharks</w:t>
            </w:r>
            <w:proofErr w:type="spellEnd"/>
          </w:p>
        </w:tc>
        <w:tc>
          <w:tcPr>
            <w:tcW w:w="2333" w:type="dxa"/>
          </w:tcPr>
          <w:p w14:paraId="1FB40166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67BA60B5" w14:textId="4E284FFC" w:rsidR="0006115E" w:rsidRPr="005C76BB" w:rsidRDefault="0006115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Marisa Dukes</w:t>
            </w:r>
            <w:r>
              <w:rPr>
                <w:rFonts w:ascii="Century Gothic" w:hAnsi="Century Gothic"/>
                <w:sz w:val="24"/>
              </w:rPr>
              <w:t>, Guidance Counselor, Social Worker</w:t>
            </w:r>
          </w:p>
        </w:tc>
        <w:tc>
          <w:tcPr>
            <w:tcW w:w="3332" w:type="dxa"/>
          </w:tcPr>
          <w:p w14:paraId="6070594A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741CE49B" w14:textId="67AB3B64" w:rsidR="0006115E" w:rsidRPr="005C76BB" w:rsidRDefault="0006115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Diversity, Prevention &amp; Intervention</w:t>
            </w:r>
            <w:r>
              <w:rPr>
                <w:rFonts w:ascii="Century Gothic" w:hAnsi="Century Gothic"/>
                <w:sz w:val="24"/>
              </w:rPr>
              <w:t xml:space="preserve"> website</w:t>
            </w:r>
          </w:p>
        </w:tc>
        <w:tc>
          <w:tcPr>
            <w:tcW w:w="2940" w:type="dxa"/>
            <w:gridSpan w:val="2"/>
          </w:tcPr>
          <w:p w14:paraId="47FE68CB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37AFAE2" w14:textId="6D158E19" w:rsidR="0006115E" w:rsidRPr="005C76BB" w:rsidRDefault="0006115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Agendas, Sign-in Sheet</w:t>
            </w:r>
          </w:p>
        </w:tc>
        <w:tc>
          <w:tcPr>
            <w:tcW w:w="2357" w:type="dxa"/>
          </w:tcPr>
          <w:p w14:paraId="6FF76B38" w14:textId="499AA403" w:rsidR="005C76BB" w:rsidRPr="005C76BB" w:rsidRDefault="0006115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On-going, quarterly</w:t>
            </w:r>
          </w:p>
        </w:tc>
      </w:tr>
      <w:tr w:rsidR="005C76BB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AA52FA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0C35246">
        <w:tc>
          <w:tcPr>
            <w:tcW w:w="3366" w:type="dxa"/>
          </w:tcPr>
          <w:p w14:paraId="20B0A611" w14:textId="4D2327F6" w:rsidR="005C76BB" w:rsidRPr="005C76BB" w:rsidRDefault="00BD401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Team/Faculty Meetings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22A04D76" w14:textId="52095EB2" w:rsidR="005C76BB" w:rsidRPr="005C76BB" w:rsidRDefault="00BD401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Marisa Dukes, Willie Williams</w:t>
            </w:r>
          </w:p>
        </w:tc>
        <w:tc>
          <w:tcPr>
            <w:tcW w:w="3332" w:type="dxa"/>
          </w:tcPr>
          <w:p w14:paraId="7AC878B6" w14:textId="633680AF" w:rsidR="005C76BB" w:rsidRPr="005C76BB" w:rsidRDefault="00BD401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2940" w:type="dxa"/>
            <w:gridSpan w:val="2"/>
          </w:tcPr>
          <w:p w14:paraId="77CBDDF1" w14:textId="0B59C9E3" w:rsidR="005C76BB" w:rsidRPr="005C76BB" w:rsidRDefault="00BD401D" w:rsidP="00C34A5B">
            <w:pPr>
              <w:rPr>
                <w:rFonts w:ascii="Century Gothic" w:hAnsi="Century Gothic"/>
                <w:sz w:val="24"/>
              </w:rPr>
            </w:pPr>
            <w:r w:rsidRPr="00BD401D">
              <w:rPr>
                <w:rFonts w:ascii="Century Gothic" w:hAnsi="Century Gothic"/>
                <w:sz w:val="20"/>
                <w:szCs w:val="20"/>
              </w:rPr>
              <w:t>Implementation of strategies</w:t>
            </w:r>
            <w:r>
              <w:rPr>
                <w:rFonts w:ascii="Century Gothic" w:hAnsi="Century Gothic"/>
                <w:sz w:val="20"/>
                <w:szCs w:val="20"/>
              </w:rPr>
              <w:t>, Observation</w:t>
            </w:r>
            <w:r w:rsidR="0060057A">
              <w:rPr>
                <w:rFonts w:ascii="Century Gothic" w:hAnsi="Century Gothic"/>
                <w:sz w:val="20"/>
                <w:szCs w:val="20"/>
              </w:rPr>
              <w:t xml:space="preserve">, Decrease in </w:t>
            </w:r>
            <w:r w:rsidR="00900924">
              <w:rPr>
                <w:rFonts w:ascii="Century Gothic" w:hAnsi="Century Gothic"/>
                <w:sz w:val="20"/>
                <w:szCs w:val="20"/>
              </w:rPr>
              <w:t>Discipline R</w:t>
            </w:r>
            <w:r w:rsidR="0060057A">
              <w:rPr>
                <w:rFonts w:ascii="Century Gothic" w:hAnsi="Century Gothic"/>
                <w:sz w:val="20"/>
                <w:szCs w:val="20"/>
              </w:rPr>
              <w:t xml:space="preserve">eferrals 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2357" w:type="dxa"/>
          </w:tcPr>
          <w:p w14:paraId="630E6241" w14:textId="2750072F" w:rsidR="005C76BB" w:rsidRPr="005C76BB" w:rsidRDefault="00BD401D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24, 2019</w:t>
            </w:r>
          </w:p>
        </w:tc>
      </w:tr>
      <w:tr w:rsidR="00AA52FA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0794F41C" w:rsidR="00AA52FA" w:rsidRPr="005C76BB" w:rsidRDefault="00900924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Response to Intervention (</w:t>
            </w:r>
            <w:proofErr w:type="spellStart"/>
            <w:r>
              <w:rPr>
                <w:rFonts w:ascii="Century Gothic" w:hAnsi="Century Gothic"/>
                <w:sz w:val="24"/>
              </w:rPr>
              <w:t>Rti</w:t>
            </w:r>
            <w:proofErr w:type="spellEnd"/>
            <w:r>
              <w:rPr>
                <w:rFonts w:ascii="Century Gothic" w:hAnsi="Century Gothic"/>
                <w:sz w:val="24"/>
              </w:rPr>
              <w:t>) Meetings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0BFDFAAB" w14:textId="0212732D" w:rsidR="00AA52FA" w:rsidRPr="005C76BB" w:rsidRDefault="00900924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Discipline Data, Weekly Referral Report</w:t>
            </w:r>
          </w:p>
        </w:tc>
        <w:tc>
          <w:tcPr>
            <w:tcW w:w="2940" w:type="dxa"/>
            <w:gridSpan w:val="2"/>
          </w:tcPr>
          <w:p w14:paraId="29861ABC" w14:textId="6B9D1AF1" w:rsidR="00AA52FA" w:rsidRPr="005C76BB" w:rsidRDefault="00900924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Reduction in Discipline </w:t>
            </w:r>
            <w:proofErr w:type="gramStart"/>
            <w:r>
              <w:rPr>
                <w:rFonts w:ascii="Century Gothic" w:hAnsi="Century Gothic"/>
                <w:sz w:val="24"/>
              </w:rPr>
              <w:t>Referrals ,</w:t>
            </w:r>
            <w:proofErr w:type="gramEnd"/>
            <w:r>
              <w:rPr>
                <w:rFonts w:ascii="Century Gothic" w:hAnsi="Century Gothic"/>
                <w:sz w:val="24"/>
              </w:rPr>
              <w:t xml:space="preserve"> Meeting Agenda</w:t>
            </w:r>
          </w:p>
        </w:tc>
        <w:tc>
          <w:tcPr>
            <w:tcW w:w="2357" w:type="dxa"/>
          </w:tcPr>
          <w:p w14:paraId="048503A7" w14:textId="77777777" w:rsidR="00AA52FA" w:rsidRDefault="00900924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Quarterly</w:t>
            </w:r>
          </w:p>
          <w:p w14:paraId="1D97EECB" w14:textId="77777777" w:rsidR="00900924" w:rsidRDefault="00900924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10/19/18</w:t>
            </w:r>
          </w:p>
          <w:p w14:paraId="11E0A3DC" w14:textId="77777777" w:rsidR="00900924" w:rsidRDefault="00900924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12/2/18</w:t>
            </w:r>
          </w:p>
          <w:p w14:paraId="08C32BBD" w14:textId="77777777" w:rsidR="00900924" w:rsidRDefault="00900924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3/22/19</w:t>
            </w:r>
          </w:p>
          <w:p w14:paraId="18BC6302" w14:textId="7D79D92B" w:rsidR="00900924" w:rsidRPr="005C76BB" w:rsidRDefault="00900924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5/9/19</w:t>
            </w:r>
          </w:p>
        </w:tc>
      </w:tr>
      <w:tr w:rsidR="005C76BB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282C1F6C" w:rsidR="005C76BB" w:rsidRPr="005C76BB" w:rsidRDefault="00900924" w:rsidP="00C34A5B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iReady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Diagnostic</w:t>
            </w: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293CE78E" w:rsidR="005C76BB" w:rsidRPr="005C76BB" w:rsidRDefault="00900924" w:rsidP="00C34A5B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iReady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Diagnostic Reports</w:t>
            </w:r>
          </w:p>
        </w:tc>
        <w:tc>
          <w:tcPr>
            <w:tcW w:w="2940" w:type="dxa"/>
            <w:gridSpan w:val="2"/>
          </w:tcPr>
          <w:p w14:paraId="712A881B" w14:textId="2E0122A7" w:rsidR="005C76BB" w:rsidRPr="005C76BB" w:rsidRDefault="0090092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Increase in student performance from Diagnostic 1 to 3</w:t>
            </w:r>
          </w:p>
        </w:tc>
        <w:tc>
          <w:tcPr>
            <w:tcW w:w="2357" w:type="dxa"/>
          </w:tcPr>
          <w:p w14:paraId="07B4590A" w14:textId="58DC8C6B" w:rsidR="005C76BB" w:rsidRPr="005C76BB" w:rsidRDefault="0090092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12/5/18 to 4/26/19</w:t>
            </w: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41591" w14:textId="77777777" w:rsidR="001C5C08" w:rsidRDefault="001C5C08" w:rsidP="0036007A">
      <w:pPr>
        <w:spacing w:after="0" w:line="240" w:lineRule="auto"/>
      </w:pPr>
      <w:r>
        <w:separator/>
      </w:r>
    </w:p>
  </w:endnote>
  <w:endnote w:type="continuationSeparator" w:id="0">
    <w:p w14:paraId="3968F46F" w14:textId="77777777" w:rsidR="001C5C08" w:rsidRDefault="001C5C08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C7A01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69BF1" w14:textId="77777777" w:rsidR="001C5C08" w:rsidRDefault="001C5C08" w:rsidP="0036007A">
      <w:pPr>
        <w:spacing w:after="0" w:line="240" w:lineRule="auto"/>
      </w:pPr>
      <w:r>
        <w:separator/>
      </w:r>
    </w:p>
  </w:footnote>
  <w:footnote w:type="continuationSeparator" w:id="0">
    <w:p w14:paraId="30F76CCC" w14:textId="77777777" w:rsidR="001C5C08" w:rsidRDefault="001C5C08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07A"/>
    <w:rsid w:val="00031C81"/>
    <w:rsid w:val="0006115E"/>
    <w:rsid w:val="000708A0"/>
    <w:rsid w:val="000A3DAE"/>
    <w:rsid w:val="000F4F27"/>
    <w:rsid w:val="0010459B"/>
    <w:rsid w:val="00126D39"/>
    <w:rsid w:val="001676CF"/>
    <w:rsid w:val="001A0383"/>
    <w:rsid w:val="001A39E4"/>
    <w:rsid w:val="001C5C08"/>
    <w:rsid w:val="00237BBE"/>
    <w:rsid w:val="00253CAF"/>
    <w:rsid w:val="00254AC3"/>
    <w:rsid w:val="00264824"/>
    <w:rsid w:val="002B27C5"/>
    <w:rsid w:val="00332408"/>
    <w:rsid w:val="0033304F"/>
    <w:rsid w:val="0036007A"/>
    <w:rsid w:val="003614CC"/>
    <w:rsid w:val="0036206A"/>
    <w:rsid w:val="00365B91"/>
    <w:rsid w:val="00377894"/>
    <w:rsid w:val="003965D9"/>
    <w:rsid w:val="00402ADF"/>
    <w:rsid w:val="00415041"/>
    <w:rsid w:val="0042332E"/>
    <w:rsid w:val="00435DF8"/>
    <w:rsid w:val="00444387"/>
    <w:rsid w:val="00462C0F"/>
    <w:rsid w:val="00483690"/>
    <w:rsid w:val="00490F0E"/>
    <w:rsid w:val="004F4DD8"/>
    <w:rsid w:val="005406AD"/>
    <w:rsid w:val="005A1B01"/>
    <w:rsid w:val="005B15B4"/>
    <w:rsid w:val="005C76BB"/>
    <w:rsid w:val="005D4A75"/>
    <w:rsid w:val="005F6DFB"/>
    <w:rsid w:val="0060057A"/>
    <w:rsid w:val="00616348"/>
    <w:rsid w:val="00636BBC"/>
    <w:rsid w:val="00675375"/>
    <w:rsid w:val="0068671F"/>
    <w:rsid w:val="00745ADA"/>
    <w:rsid w:val="007A6C10"/>
    <w:rsid w:val="007B56BB"/>
    <w:rsid w:val="007F089F"/>
    <w:rsid w:val="00836712"/>
    <w:rsid w:val="008420D2"/>
    <w:rsid w:val="008C6498"/>
    <w:rsid w:val="008D15FA"/>
    <w:rsid w:val="008F509E"/>
    <w:rsid w:val="008F7257"/>
    <w:rsid w:val="00900924"/>
    <w:rsid w:val="00943B32"/>
    <w:rsid w:val="009670E2"/>
    <w:rsid w:val="00973C30"/>
    <w:rsid w:val="009770CA"/>
    <w:rsid w:val="009A7600"/>
    <w:rsid w:val="009E702B"/>
    <w:rsid w:val="009F78E1"/>
    <w:rsid w:val="00A474D5"/>
    <w:rsid w:val="00A8710F"/>
    <w:rsid w:val="00A97058"/>
    <w:rsid w:val="00AA13B4"/>
    <w:rsid w:val="00AA52FA"/>
    <w:rsid w:val="00AB394E"/>
    <w:rsid w:val="00AC1619"/>
    <w:rsid w:val="00AC7A01"/>
    <w:rsid w:val="00AF61C3"/>
    <w:rsid w:val="00B12EB5"/>
    <w:rsid w:val="00B36D69"/>
    <w:rsid w:val="00B51976"/>
    <w:rsid w:val="00B70D6E"/>
    <w:rsid w:val="00B8074A"/>
    <w:rsid w:val="00BC020A"/>
    <w:rsid w:val="00BD401D"/>
    <w:rsid w:val="00BE2425"/>
    <w:rsid w:val="00C2719B"/>
    <w:rsid w:val="00C27EE3"/>
    <w:rsid w:val="00C34A5B"/>
    <w:rsid w:val="00C35246"/>
    <w:rsid w:val="00C83CD0"/>
    <w:rsid w:val="00CC085F"/>
    <w:rsid w:val="00CC3B83"/>
    <w:rsid w:val="00D04956"/>
    <w:rsid w:val="00D3798F"/>
    <w:rsid w:val="00D473D3"/>
    <w:rsid w:val="00D57662"/>
    <w:rsid w:val="00DB799E"/>
    <w:rsid w:val="00E22619"/>
    <w:rsid w:val="00E46D62"/>
    <w:rsid w:val="00EC5CC0"/>
    <w:rsid w:val="00EE2964"/>
    <w:rsid w:val="00F21271"/>
    <w:rsid w:val="00F24BFF"/>
    <w:rsid w:val="00F25107"/>
    <w:rsid w:val="00F72AE7"/>
    <w:rsid w:val="00F860CF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CAB647F2-A50D-4CB3-9584-ABC57618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B459-7346-476F-94CB-929427C9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Marisa Dukes</cp:lastModifiedBy>
  <cp:revision>2</cp:revision>
  <cp:lastPrinted>2018-08-07T18:12:00Z</cp:lastPrinted>
  <dcterms:created xsi:type="dcterms:W3CDTF">2018-12-11T15:52:00Z</dcterms:created>
  <dcterms:modified xsi:type="dcterms:W3CDTF">2018-12-11T15:52:00Z</dcterms:modified>
</cp:coreProperties>
</file>