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68C49F56" w14:textId="24681C54" w:rsidR="006A658C" w:rsidRDefault="006A658C" w:rsidP="006A658C">
      <w:pPr>
        <w:rPr>
          <w:rFonts w:asciiTheme="majorHAnsi" w:hAnsiTheme="majorHAnsi"/>
          <w:sz w:val="20"/>
          <w:szCs w:val="20"/>
        </w:rPr>
      </w:pPr>
      <w:r>
        <w:rPr>
          <w:rFonts w:asciiTheme="majorHAnsi" w:hAnsiTheme="majorHAnsi"/>
          <w:sz w:val="20"/>
          <w:szCs w:val="20"/>
        </w:rPr>
        <w:t>A. Our instructors collaborate regularly to establish support structures related to our goal.  Our English Composition instructors are infusing SAT/ACT reading strategies and vocabulary into their lessons.  Our Math instructors provide the students with the math content and strategies, including free response questions.  All of our instructors are involved in PLCs with topics/discussion surrounding college entrance exam data that is available for our school.</w:t>
      </w:r>
    </w:p>
    <w:p w14:paraId="5DDE7013" w14:textId="21B39D9A" w:rsidR="006A658C" w:rsidRDefault="006A658C" w:rsidP="006A658C">
      <w:pPr>
        <w:rPr>
          <w:rFonts w:asciiTheme="majorHAnsi" w:hAnsiTheme="majorHAnsi"/>
          <w:sz w:val="20"/>
          <w:szCs w:val="20"/>
        </w:rPr>
      </w:pPr>
      <w:r>
        <w:rPr>
          <w:rFonts w:asciiTheme="majorHAnsi" w:hAnsiTheme="majorHAnsi"/>
          <w:sz w:val="20"/>
          <w:szCs w:val="20"/>
        </w:rPr>
        <w:t>B. Our SIP goal includes setting up test prep sessions. This is a challenge as we have to reserve space with Broward College.  Room requests have been submitted and we are waiting to publish review sessions.</w:t>
      </w:r>
    </w:p>
    <w:p w14:paraId="0F53ECE4" w14:textId="4B6FC5B1" w:rsidR="006A658C" w:rsidRPr="006A658C" w:rsidRDefault="006A658C" w:rsidP="006A658C">
      <w:pPr>
        <w:rPr>
          <w:rFonts w:asciiTheme="majorHAnsi" w:hAnsiTheme="majorHAnsi"/>
          <w:sz w:val="20"/>
          <w:szCs w:val="20"/>
        </w:rPr>
      </w:pPr>
      <w:r>
        <w:rPr>
          <w:rFonts w:asciiTheme="majorHAnsi" w:hAnsiTheme="majorHAnsi"/>
          <w:sz w:val="20"/>
          <w:szCs w:val="20"/>
        </w:rPr>
        <w:t>C.  Once the room requests are approved, we will move forward with advertising the after school review sessions.</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19FFEF45" w14:textId="1C71D0A5" w:rsidR="006A658C" w:rsidRPr="006A658C" w:rsidRDefault="006A658C" w:rsidP="006A658C">
      <w:pPr>
        <w:rPr>
          <w:rFonts w:asciiTheme="majorHAnsi" w:hAnsiTheme="majorHAnsi"/>
          <w:bCs/>
          <w:iCs/>
          <w:sz w:val="20"/>
          <w:szCs w:val="20"/>
        </w:rPr>
      </w:pPr>
      <w:r>
        <w:rPr>
          <w:rFonts w:asciiTheme="majorHAnsi" w:hAnsiTheme="majorHAnsi"/>
          <w:sz w:val="20"/>
          <w:szCs w:val="20"/>
        </w:rPr>
        <w:t>A.  The only barrier at this time is space and we are working with the college to provide space for the sessions.  At this point it is only time and working with our partner as we do not own any space on the college campus.</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1281FB87" w14:textId="6225DD6A" w:rsidR="006A658C" w:rsidRDefault="00F44022" w:rsidP="00DA5DF7">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 xml:space="preserve">specific </w:t>
      </w:r>
      <w:proofErr w:type="gramStart"/>
      <w:r w:rsidRPr="005D768D">
        <w:rPr>
          <w:rFonts w:asciiTheme="majorHAnsi" w:hAnsiTheme="majorHAnsi"/>
          <w:bCs/>
          <w:i/>
          <w:iCs/>
          <w:sz w:val="20"/>
          <w:szCs w:val="20"/>
        </w:rPr>
        <w:t>evidence</w:t>
      </w:r>
      <w:proofErr w:type="gramEnd"/>
    </w:p>
    <w:p w14:paraId="61AC142E" w14:textId="0AB45B1C" w:rsidR="00DA5DF7" w:rsidRDefault="00DA5DF7" w:rsidP="00DA5DF7">
      <w:pPr>
        <w:rPr>
          <w:rFonts w:asciiTheme="majorHAnsi" w:hAnsiTheme="majorHAnsi"/>
          <w:sz w:val="20"/>
          <w:szCs w:val="20"/>
        </w:rPr>
      </w:pPr>
      <w:r>
        <w:rPr>
          <w:rFonts w:asciiTheme="majorHAnsi" w:hAnsiTheme="majorHAnsi"/>
          <w:sz w:val="20"/>
          <w:szCs w:val="20"/>
        </w:rPr>
        <w:t>The evidence we are using is PSAT data from the October 2018 administration.  No changes to our plan were made.</w:t>
      </w:r>
    </w:p>
    <w:p w14:paraId="218F1F66" w14:textId="77777777" w:rsidR="00DA5DF7" w:rsidRPr="00DA5DF7" w:rsidRDefault="00DA5DF7" w:rsidP="00DA5DF7">
      <w:pPr>
        <w:rPr>
          <w:rFonts w:asciiTheme="majorHAnsi" w:hAnsiTheme="majorHAnsi"/>
          <w:sz w:val="20"/>
          <w:szCs w:val="20"/>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582003E0" w14:textId="77777777" w:rsidR="00DA5DF7" w:rsidRDefault="00DA5DF7" w:rsidP="005B0837">
      <w:pPr>
        <w:ind w:left="720"/>
        <w:rPr>
          <w:rFonts w:asciiTheme="majorHAnsi" w:hAnsiTheme="majorHAnsi"/>
          <w:i/>
          <w:sz w:val="20"/>
          <w:szCs w:val="20"/>
        </w:rPr>
      </w:pPr>
      <w:bookmarkStart w:id="0" w:name="_GoBack"/>
      <w:bookmarkEnd w:id="0"/>
    </w:p>
    <w:p w14:paraId="4417E67C" w14:textId="63F20E6B" w:rsidR="00DA5DF7" w:rsidRPr="00DA5DF7" w:rsidRDefault="00DA5DF7" w:rsidP="00DA5DF7">
      <w:pPr>
        <w:rPr>
          <w:rFonts w:asciiTheme="majorHAnsi" w:hAnsiTheme="majorHAnsi"/>
          <w:sz w:val="20"/>
          <w:szCs w:val="20"/>
        </w:rPr>
      </w:pPr>
      <w:r>
        <w:rPr>
          <w:rFonts w:asciiTheme="majorHAnsi" w:hAnsiTheme="majorHAnsi"/>
          <w:sz w:val="20"/>
          <w:szCs w:val="20"/>
        </w:rPr>
        <w:t xml:space="preserve">All </w:t>
      </w:r>
      <w:proofErr w:type="gramStart"/>
      <w:r>
        <w:rPr>
          <w:rFonts w:asciiTheme="majorHAnsi" w:hAnsiTheme="majorHAnsi"/>
          <w:sz w:val="20"/>
          <w:szCs w:val="20"/>
        </w:rPr>
        <w:t>Juniors</w:t>
      </w:r>
      <w:proofErr w:type="gramEnd"/>
      <w:r>
        <w:rPr>
          <w:rFonts w:asciiTheme="majorHAnsi" w:hAnsiTheme="majorHAnsi"/>
          <w:sz w:val="20"/>
          <w:szCs w:val="20"/>
        </w:rPr>
        <w:t xml:space="preserve"> in our program will have the opportunity to take the SAT School Day test.  Our school goal is to have every student achieve a Bright Futures test score.  Our SIP goal is to provide additional test preparation resources to assist our students in achieving the highest score possible on the SAT or ACT test.  Currently, based on PSAT data, 30% of our </w:t>
      </w:r>
      <w:proofErr w:type="gramStart"/>
      <w:r>
        <w:rPr>
          <w:rFonts w:asciiTheme="majorHAnsi" w:hAnsiTheme="majorHAnsi"/>
          <w:sz w:val="20"/>
          <w:szCs w:val="20"/>
        </w:rPr>
        <w:t>Juniors</w:t>
      </w:r>
      <w:proofErr w:type="gramEnd"/>
      <w:r>
        <w:rPr>
          <w:rFonts w:asciiTheme="majorHAnsi" w:hAnsiTheme="majorHAnsi"/>
          <w:sz w:val="20"/>
          <w:szCs w:val="20"/>
        </w:rPr>
        <w:t xml:space="preserve"> would benefit from test preparation in order to achieve a Bright Futures score.</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195615"/>
    <w:rsid w:val="00250C45"/>
    <w:rsid w:val="002C3017"/>
    <w:rsid w:val="002F0347"/>
    <w:rsid w:val="003909BB"/>
    <w:rsid w:val="004C41CD"/>
    <w:rsid w:val="004F3C46"/>
    <w:rsid w:val="00554BF1"/>
    <w:rsid w:val="005B0837"/>
    <w:rsid w:val="005D2080"/>
    <w:rsid w:val="005D768D"/>
    <w:rsid w:val="0062185D"/>
    <w:rsid w:val="006408FB"/>
    <w:rsid w:val="006A658C"/>
    <w:rsid w:val="006C2D57"/>
    <w:rsid w:val="00750009"/>
    <w:rsid w:val="00807F66"/>
    <w:rsid w:val="008E26C6"/>
    <w:rsid w:val="00A21D03"/>
    <w:rsid w:val="00B42F96"/>
    <w:rsid w:val="00C15A9A"/>
    <w:rsid w:val="00C7667D"/>
    <w:rsid w:val="00DA5DF7"/>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Jodie Weinstein</cp:lastModifiedBy>
  <cp:revision>2</cp:revision>
  <cp:lastPrinted>2016-02-03T18:28:00Z</cp:lastPrinted>
  <dcterms:created xsi:type="dcterms:W3CDTF">2019-01-31T18:00:00Z</dcterms:created>
  <dcterms:modified xsi:type="dcterms:W3CDTF">2019-01-31T18:00:00Z</dcterms:modified>
</cp:coreProperties>
</file>