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C3" w:rsidRDefault="00E222C3" w:rsidP="00E222C3">
      <w:pPr>
        <w:pStyle w:val="Subheading"/>
      </w:pPr>
      <w:proofErr w:type="spellStart"/>
      <w:r>
        <w:t>Stranahan</w:t>
      </w:r>
      <w:proofErr w:type="spellEnd"/>
      <w:r>
        <w:t xml:space="preserve"> HS</w:t>
      </w:r>
    </w:p>
    <w:p w:rsidR="00E222C3" w:rsidRDefault="00E222C3" w:rsidP="00E222C3">
      <w:pPr>
        <w:pStyle w:val="Subheading"/>
      </w:pPr>
      <w:bookmarkStart w:id="0" w:name="_GoBack"/>
      <w:bookmarkEnd w:id="0"/>
      <w:r>
        <w:t>Grade Books</w:t>
      </w:r>
      <w:r>
        <w:fldChar w:fldCharType="begin"/>
      </w:r>
      <w:r>
        <w:instrText xml:space="preserve"> XE "</w:instrText>
      </w:r>
      <w:r w:rsidRPr="00593CBC">
        <w:instrText>Grade Books</w:instrText>
      </w:r>
      <w:r>
        <w:instrText xml:space="preserve">" </w:instrText>
      </w:r>
      <w:r>
        <w:fldChar w:fldCharType="end"/>
      </w:r>
    </w:p>
    <w:p w:rsidR="00E222C3" w:rsidRDefault="00E222C3" w:rsidP="00E222C3">
      <w:pPr>
        <w:pStyle w:val="Default"/>
        <w:jc w:val="both"/>
        <w:rPr>
          <w:rFonts w:ascii="Arial" w:hAnsi="Arial" w:cs="Arial"/>
          <w:color w:val="214281"/>
        </w:rPr>
      </w:pPr>
    </w:p>
    <w:p w:rsidR="00E222C3" w:rsidRDefault="00E222C3" w:rsidP="00E222C3">
      <w:pPr>
        <w:pStyle w:val="Body"/>
      </w:pPr>
      <w:r>
        <w:rPr>
          <w:b/>
          <w:bCs/>
          <w:u w:val="single"/>
        </w:rPr>
        <w:t>Requirements – ALL TEACHERS MUST KEEP PINNACLE RECORDS UP TO DATE!</w:t>
      </w:r>
      <w:r>
        <w:t xml:space="preserve">   (Grades and attendance!)</w:t>
      </w:r>
    </w:p>
    <w:p w:rsidR="00E222C3" w:rsidRDefault="00E222C3" w:rsidP="00E222C3">
      <w:pPr>
        <w:pStyle w:val="Body"/>
      </w:pPr>
      <w:r>
        <w:t xml:space="preserve">Attendance: Absences - Excused/Unexcused, </w:t>
      </w:r>
      <w:proofErr w:type="spellStart"/>
      <w:r>
        <w:t>Tardies</w:t>
      </w:r>
      <w:proofErr w:type="spellEnd"/>
      <w:r>
        <w:t>, Cuts, Internal Suspension, External suspension, Field trips (marked in Pinnacle)</w:t>
      </w:r>
    </w:p>
    <w:p w:rsidR="00E222C3" w:rsidRDefault="00E222C3" w:rsidP="00E222C3">
      <w:pPr>
        <w:pStyle w:val="Body"/>
        <w:numPr>
          <w:ilvl w:val="1"/>
          <w:numId w:val="2"/>
        </w:numPr>
        <w:tabs>
          <w:tab w:val="num" w:pos="1440"/>
        </w:tabs>
      </w:pPr>
      <w:r>
        <w:t xml:space="preserve">Entry Date of each student marked with an “E” indicating the first day of attendance in your class </w:t>
      </w:r>
    </w:p>
    <w:p w:rsidR="00E222C3" w:rsidRDefault="00E222C3" w:rsidP="00E222C3">
      <w:pPr>
        <w:pStyle w:val="Body"/>
        <w:numPr>
          <w:ilvl w:val="1"/>
          <w:numId w:val="2"/>
        </w:numPr>
        <w:tabs>
          <w:tab w:val="num" w:pos="1440"/>
        </w:tabs>
      </w:pPr>
      <w:r>
        <w:t xml:space="preserve">Withdrawal or Transfer codes - for each student that exits your class during the semester </w:t>
      </w:r>
    </w:p>
    <w:p w:rsidR="00E222C3" w:rsidRDefault="00E222C3" w:rsidP="00E222C3">
      <w:pPr>
        <w:pStyle w:val="Body"/>
      </w:pPr>
      <w:r>
        <w:t xml:space="preserve">All entries must be in blue or black ink (if keeping a hardcopy in your gradebook). </w:t>
      </w:r>
    </w:p>
    <w:p w:rsidR="00E222C3" w:rsidRDefault="00E222C3" w:rsidP="00E222C3">
      <w:pPr>
        <w:pStyle w:val="Body"/>
      </w:pPr>
      <w:r>
        <w:t>Attendance must be accurately noted in Pinnacle daily (this is a legal document)</w:t>
      </w:r>
    </w:p>
    <w:p w:rsidR="00E222C3" w:rsidRDefault="00E222C3" w:rsidP="00E222C3">
      <w:pPr>
        <w:pStyle w:val="Body"/>
      </w:pPr>
      <w:r>
        <w:t>Approximately one grade entry per week!   (BTU contract states that 3 grades must be entered into Pinnacle by interims and 9 grades by the end of the marking period.)</w:t>
      </w:r>
    </w:p>
    <w:p w:rsidR="00E222C3" w:rsidRDefault="00E222C3" w:rsidP="00E222C3">
      <w:pPr>
        <w:pStyle w:val="Body"/>
      </w:pPr>
      <w:r>
        <w:t>Grades must be posted within 48 hours after the assignment or assessment on Pinnacle.  (parents/students/admin. can view your grades in real-time)</w:t>
      </w:r>
    </w:p>
    <w:p w:rsidR="00E222C3" w:rsidRDefault="00E222C3" w:rsidP="00E222C3">
      <w:pPr>
        <w:pStyle w:val="Body"/>
      </w:pPr>
      <w:r>
        <w:t>Print hardcopies or save back up screens of grades periodically for recordkeeping. (</w:t>
      </w:r>
      <w:proofErr w:type="gramStart"/>
      <w:r>
        <w:t>always</w:t>
      </w:r>
      <w:proofErr w:type="gramEnd"/>
      <w:r>
        <w:t xml:space="preserve"> useful, especially in parent conferences!)</w:t>
      </w:r>
    </w:p>
    <w:p w:rsidR="00E222C3" w:rsidRDefault="00E222C3" w:rsidP="00E222C3">
      <w:pPr>
        <w:pStyle w:val="Body"/>
      </w:pPr>
      <w:r>
        <w:t>Lesson Plans must be up to date and may be kept electronically using a template. The plans must be backed up and converted into a hardcopy or saved to a CD/jump drive to turn in to administration at the end of the school year.</w:t>
      </w:r>
    </w:p>
    <w:p w:rsidR="00E222C3" w:rsidRDefault="00E222C3" w:rsidP="00E222C3">
      <w:pPr>
        <w:pStyle w:val="Default"/>
        <w:rPr>
          <w:rFonts w:ascii="Arial" w:hAnsi="Arial" w:cs="Arial"/>
          <w:color w:val="214281"/>
        </w:rPr>
      </w:pPr>
    </w:p>
    <w:p w:rsidR="00E222C3" w:rsidRDefault="00E222C3" w:rsidP="00E222C3">
      <w:pPr>
        <w:pStyle w:val="Subheading"/>
      </w:pPr>
      <w:r>
        <w:t>Grade Changes</w:t>
      </w:r>
      <w:r>
        <w:fldChar w:fldCharType="begin"/>
      </w:r>
      <w:r>
        <w:instrText xml:space="preserve"> XE "</w:instrText>
      </w:r>
      <w:r w:rsidRPr="001A029F">
        <w:instrText>Grade Changes</w:instrText>
      </w:r>
      <w:r>
        <w:instrText xml:space="preserve">" </w:instrText>
      </w:r>
      <w:r>
        <w:fldChar w:fldCharType="end"/>
      </w:r>
    </w:p>
    <w:p w:rsidR="00E222C3" w:rsidRDefault="00E222C3" w:rsidP="00E222C3">
      <w:pPr>
        <w:pStyle w:val="Subheading"/>
      </w:pPr>
    </w:p>
    <w:p w:rsidR="00E222C3" w:rsidRDefault="00E222C3" w:rsidP="00E222C3">
      <w:pPr>
        <w:pStyle w:val="CM62"/>
        <w:spacing w:after="0"/>
        <w:jc w:val="both"/>
        <w:rPr>
          <w:rFonts w:ascii="Arial" w:hAnsi="Arial" w:cs="Arial"/>
          <w:color w:val="214281"/>
        </w:rPr>
      </w:pPr>
      <w:r>
        <w:rPr>
          <w:rFonts w:ascii="Arial" w:hAnsi="Arial" w:cs="Arial"/>
          <w:color w:val="214281"/>
        </w:rPr>
        <w:t>All grade changes must be submitted to the registrar within 30 days after the report card is posted.  After 30 days, all grade grades must be authorized by the principal or the principal’s designee.  Please bring student work to support all grade changes.  Also, be sure that you fill in all information on the grade change form so the registrar can compute the final grade.     Grade change forms can be obtained from the registrar.</w:t>
      </w:r>
    </w:p>
    <w:p w:rsidR="00E222C3" w:rsidRPr="00A04046" w:rsidRDefault="00E222C3" w:rsidP="00E222C3">
      <w:pPr>
        <w:pStyle w:val="Default"/>
        <w:jc w:val="both"/>
      </w:pPr>
    </w:p>
    <w:p w:rsidR="00E222C3" w:rsidRDefault="00E222C3" w:rsidP="00E222C3">
      <w:pPr>
        <w:pStyle w:val="Subheading"/>
        <w:keepNext/>
      </w:pPr>
      <w:r>
        <w:t>Grading Scale for High Schools</w:t>
      </w:r>
      <w:r>
        <w:fldChar w:fldCharType="begin"/>
      </w:r>
      <w:r>
        <w:instrText xml:space="preserve"> XE "</w:instrText>
      </w:r>
      <w:r w:rsidRPr="00FC1C98">
        <w:instrText>Grading Scale for High Schools</w:instrText>
      </w:r>
      <w:r>
        <w:instrText xml:space="preserve">" </w:instrText>
      </w:r>
      <w:r>
        <w:fldChar w:fldCharType="end"/>
      </w:r>
    </w:p>
    <w:p w:rsidR="00E222C3" w:rsidRDefault="00E222C3" w:rsidP="00E222C3">
      <w:pPr>
        <w:pStyle w:val="Subheading"/>
        <w:keepNext/>
        <w:jc w:val="both"/>
      </w:pPr>
    </w:p>
    <w:p w:rsidR="00E222C3" w:rsidRDefault="00E222C3" w:rsidP="00E222C3">
      <w:pPr>
        <w:pStyle w:val="CM19"/>
        <w:keepNext/>
        <w:jc w:val="both"/>
        <w:rPr>
          <w:rFonts w:ascii="Arial" w:hAnsi="Arial" w:cs="Arial"/>
          <w:color w:val="214281"/>
        </w:rPr>
      </w:pPr>
      <w:r>
        <w:rPr>
          <w:rFonts w:ascii="Arial" w:hAnsi="Arial" w:cs="Arial"/>
          <w:color w:val="214281"/>
        </w:rPr>
        <w:t xml:space="preserve">According to School Board Policy, the grading system used in high schools and the interpretation of the letter grades, which represent the equivalent numerical grades and quality points, are as follows: </w:t>
      </w:r>
    </w:p>
    <w:p w:rsidR="00E222C3" w:rsidRPr="006A6A30" w:rsidRDefault="00E222C3" w:rsidP="00E222C3">
      <w:pPr>
        <w:pStyle w:val="Default"/>
      </w:pPr>
    </w:p>
    <w:p w:rsidR="00E222C3" w:rsidRPr="006A6A30" w:rsidRDefault="00E222C3" w:rsidP="00E222C3">
      <w:pPr>
        <w:pStyle w:val="CM61"/>
        <w:ind w:right="780"/>
        <w:jc w:val="center"/>
        <w:rPr>
          <w:rFonts w:ascii="Arial" w:hAnsi="Arial" w:cs="Arial"/>
          <w:color w:val="214281"/>
          <w:sz w:val="32"/>
          <w:szCs w:val="32"/>
        </w:rPr>
      </w:pPr>
      <w:r w:rsidRPr="006A6A30">
        <w:rPr>
          <w:rFonts w:ascii="Arial" w:hAnsi="Arial" w:cs="Arial"/>
          <w:color w:val="214281"/>
          <w:sz w:val="32"/>
          <w:szCs w:val="32"/>
        </w:rPr>
        <w:t>Grading Scale for High Schools</w:t>
      </w:r>
    </w:p>
    <w:p w:rsidR="00E222C3" w:rsidRDefault="00E222C3" w:rsidP="00E222C3">
      <w:pPr>
        <w:pStyle w:val="Default"/>
        <w:tabs>
          <w:tab w:val="left" w:leader="dot" w:pos="5760"/>
        </w:tabs>
        <w:spacing w:line="288" w:lineRule="atLeast"/>
        <w:ind w:left="2430"/>
        <w:rPr>
          <w:rFonts w:ascii="Arial" w:hAnsi="Arial" w:cs="Arial"/>
          <w:color w:val="214281"/>
        </w:rPr>
      </w:pPr>
      <w:r>
        <w:rPr>
          <w:rFonts w:ascii="Arial" w:hAnsi="Arial" w:cs="Arial"/>
          <w:color w:val="214281"/>
        </w:rPr>
        <w:t xml:space="preserve">90 </w:t>
      </w:r>
      <w:r>
        <w:rPr>
          <w:rFonts w:ascii="Arial" w:hAnsi="Arial" w:cs="Arial"/>
          <w:color w:val="1F497D"/>
        </w:rPr>
        <w:t>–</w:t>
      </w:r>
      <w:r>
        <w:rPr>
          <w:rFonts w:ascii="Arial" w:hAnsi="Arial" w:cs="Arial"/>
          <w:color w:val="214281"/>
        </w:rPr>
        <w:t xml:space="preserve"> 100</w:t>
      </w:r>
      <w:r>
        <w:rPr>
          <w:rFonts w:ascii="Arial" w:hAnsi="Arial" w:cs="Arial"/>
          <w:color w:val="214281"/>
        </w:rPr>
        <w:tab/>
        <w:t>A</w:t>
      </w:r>
    </w:p>
    <w:p w:rsidR="00E222C3" w:rsidRDefault="00E222C3" w:rsidP="00E222C3">
      <w:pPr>
        <w:pStyle w:val="Default"/>
        <w:tabs>
          <w:tab w:val="left" w:leader="dot" w:pos="5760"/>
        </w:tabs>
        <w:spacing w:line="288" w:lineRule="atLeast"/>
        <w:ind w:left="2430"/>
        <w:rPr>
          <w:rFonts w:ascii="Arial" w:hAnsi="Arial" w:cs="Arial"/>
          <w:color w:val="214281"/>
        </w:rPr>
      </w:pPr>
      <w:r>
        <w:rPr>
          <w:rFonts w:ascii="Arial" w:hAnsi="Arial" w:cs="Arial"/>
          <w:color w:val="214281"/>
        </w:rPr>
        <w:t xml:space="preserve">87 </w:t>
      </w:r>
      <w:r>
        <w:rPr>
          <w:rFonts w:ascii="Arial" w:hAnsi="Arial" w:cs="Arial"/>
          <w:color w:val="1F497D"/>
        </w:rPr>
        <w:t>–</w:t>
      </w:r>
      <w:r>
        <w:rPr>
          <w:rFonts w:ascii="Arial" w:hAnsi="Arial" w:cs="Arial"/>
          <w:color w:val="214281"/>
        </w:rPr>
        <w:t xml:space="preserve"> 89</w:t>
      </w:r>
      <w:r>
        <w:rPr>
          <w:rFonts w:ascii="Arial" w:hAnsi="Arial" w:cs="Arial"/>
          <w:color w:val="214281"/>
        </w:rPr>
        <w:tab/>
        <w:t>B+</w:t>
      </w:r>
    </w:p>
    <w:p w:rsidR="00E222C3" w:rsidRDefault="00E222C3" w:rsidP="00E222C3">
      <w:pPr>
        <w:pStyle w:val="Default"/>
        <w:tabs>
          <w:tab w:val="left" w:leader="dot" w:pos="5760"/>
        </w:tabs>
        <w:spacing w:line="288" w:lineRule="atLeast"/>
        <w:ind w:left="2430"/>
        <w:rPr>
          <w:rFonts w:ascii="Arial" w:hAnsi="Arial" w:cs="Arial"/>
          <w:color w:val="214281"/>
        </w:rPr>
      </w:pPr>
      <w:r>
        <w:rPr>
          <w:rFonts w:ascii="Arial" w:hAnsi="Arial" w:cs="Arial"/>
          <w:color w:val="214281"/>
        </w:rPr>
        <w:t>80 – 86</w:t>
      </w:r>
      <w:r>
        <w:rPr>
          <w:rFonts w:ascii="Arial" w:hAnsi="Arial" w:cs="Arial"/>
          <w:color w:val="214281"/>
        </w:rPr>
        <w:tab/>
        <w:t>B</w:t>
      </w:r>
    </w:p>
    <w:p w:rsidR="00E222C3" w:rsidRDefault="00E222C3" w:rsidP="00E222C3">
      <w:pPr>
        <w:pStyle w:val="Default"/>
        <w:tabs>
          <w:tab w:val="left" w:leader="dot" w:pos="5760"/>
        </w:tabs>
        <w:spacing w:line="288" w:lineRule="atLeast"/>
        <w:ind w:left="2430"/>
        <w:rPr>
          <w:rFonts w:ascii="Arial" w:hAnsi="Arial" w:cs="Arial"/>
          <w:color w:val="214281"/>
        </w:rPr>
      </w:pPr>
      <w:r>
        <w:rPr>
          <w:rFonts w:ascii="Arial" w:hAnsi="Arial" w:cs="Arial"/>
          <w:color w:val="214281"/>
        </w:rPr>
        <w:t>77 – 79</w:t>
      </w:r>
      <w:r>
        <w:rPr>
          <w:rFonts w:ascii="Arial" w:hAnsi="Arial" w:cs="Arial"/>
          <w:color w:val="214281"/>
        </w:rPr>
        <w:tab/>
        <w:t>C+</w:t>
      </w:r>
    </w:p>
    <w:p w:rsidR="00E222C3" w:rsidRDefault="00E222C3" w:rsidP="00E222C3">
      <w:pPr>
        <w:pStyle w:val="Default"/>
        <w:tabs>
          <w:tab w:val="left" w:leader="dot" w:pos="5760"/>
        </w:tabs>
        <w:spacing w:line="288" w:lineRule="atLeast"/>
        <w:ind w:left="2430"/>
        <w:rPr>
          <w:rFonts w:ascii="Arial" w:hAnsi="Arial" w:cs="Arial"/>
          <w:color w:val="214281"/>
        </w:rPr>
      </w:pPr>
      <w:r>
        <w:rPr>
          <w:rFonts w:ascii="Arial" w:hAnsi="Arial" w:cs="Arial"/>
          <w:color w:val="214281"/>
        </w:rPr>
        <w:t>70 – 76</w:t>
      </w:r>
      <w:r>
        <w:rPr>
          <w:rFonts w:ascii="Arial" w:hAnsi="Arial" w:cs="Arial"/>
          <w:color w:val="214281"/>
        </w:rPr>
        <w:tab/>
        <w:t>C</w:t>
      </w:r>
    </w:p>
    <w:p w:rsidR="00E222C3" w:rsidRDefault="00E222C3" w:rsidP="00E222C3">
      <w:pPr>
        <w:pStyle w:val="Default"/>
        <w:tabs>
          <w:tab w:val="left" w:leader="dot" w:pos="5760"/>
        </w:tabs>
        <w:spacing w:line="288" w:lineRule="atLeast"/>
        <w:ind w:left="2430"/>
        <w:rPr>
          <w:rFonts w:ascii="Arial" w:hAnsi="Arial" w:cs="Arial"/>
          <w:color w:val="214281"/>
        </w:rPr>
      </w:pPr>
      <w:r>
        <w:rPr>
          <w:rFonts w:ascii="Arial" w:hAnsi="Arial" w:cs="Arial"/>
          <w:color w:val="214281"/>
        </w:rPr>
        <w:t>67 – 69</w:t>
      </w:r>
      <w:r>
        <w:rPr>
          <w:rFonts w:ascii="Arial" w:hAnsi="Arial" w:cs="Arial"/>
          <w:color w:val="214281"/>
        </w:rPr>
        <w:tab/>
        <w:t>D+</w:t>
      </w:r>
    </w:p>
    <w:p w:rsidR="00E222C3" w:rsidRDefault="00E222C3" w:rsidP="00E222C3">
      <w:pPr>
        <w:pStyle w:val="Default"/>
        <w:tabs>
          <w:tab w:val="left" w:leader="dot" w:pos="5760"/>
        </w:tabs>
        <w:spacing w:line="288" w:lineRule="atLeast"/>
        <w:ind w:left="2430"/>
        <w:rPr>
          <w:rFonts w:ascii="Arial" w:hAnsi="Arial" w:cs="Arial"/>
          <w:color w:val="214281"/>
        </w:rPr>
      </w:pPr>
      <w:r>
        <w:rPr>
          <w:rFonts w:ascii="Arial" w:hAnsi="Arial" w:cs="Arial"/>
          <w:color w:val="214281"/>
        </w:rPr>
        <w:lastRenderedPageBreak/>
        <w:t>60 – 66</w:t>
      </w:r>
      <w:r>
        <w:rPr>
          <w:rFonts w:ascii="Arial" w:hAnsi="Arial" w:cs="Arial"/>
          <w:color w:val="214281"/>
        </w:rPr>
        <w:tab/>
        <w:t>D</w:t>
      </w:r>
    </w:p>
    <w:p w:rsidR="00E222C3" w:rsidRDefault="00E222C3" w:rsidP="00E222C3">
      <w:pPr>
        <w:pStyle w:val="CM61"/>
        <w:tabs>
          <w:tab w:val="left" w:leader="dot" w:pos="5760"/>
        </w:tabs>
        <w:spacing w:line="288" w:lineRule="atLeast"/>
        <w:ind w:left="2430"/>
        <w:rPr>
          <w:rFonts w:ascii="Arial" w:hAnsi="Arial" w:cs="Arial"/>
          <w:color w:val="214281"/>
        </w:rPr>
      </w:pPr>
      <w:r>
        <w:rPr>
          <w:rFonts w:ascii="Arial" w:hAnsi="Arial" w:cs="Arial"/>
          <w:color w:val="214281"/>
        </w:rPr>
        <w:t>59 or below</w:t>
      </w:r>
      <w:r>
        <w:rPr>
          <w:rFonts w:ascii="Arial" w:hAnsi="Arial" w:cs="Arial"/>
          <w:color w:val="214281"/>
        </w:rPr>
        <w:tab/>
        <w:t>F</w:t>
      </w:r>
    </w:p>
    <w:p w:rsidR="00E222C3" w:rsidRDefault="00E222C3" w:rsidP="00E222C3">
      <w:pPr>
        <w:pStyle w:val="CM61"/>
        <w:spacing w:after="0"/>
        <w:ind w:firstLine="720"/>
        <w:jc w:val="both"/>
        <w:rPr>
          <w:rFonts w:ascii="Arial" w:hAnsi="Arial" w:cs="Arial"/>
          <w:color w:val="214281"/>
        </w:rPr>
      </w:pPr>
      <w:r>
        <w:rPr>
          <w:rFonts w:ascii="Arial" w:hAnsi="Arial" w:cs="Arial"/>
          <w:color w:val="214281"/>
        </w:rPr>
        <w:t xml:space="preserve">An “I” is given as an opportunity for students to make up incomplete class work. Class work should be made up prior to the 40th day of the next marking period. If the work remains incomplete at the end of this period, the “I” will revert to an “F”. The principal may extend the dead-line. </w:t>
      </w:r>
    </w:p>
    <w:p w:rsidR="00E222C3" w:rsidRDefault="00E222C3" w:rsidP="00E222C3">
      <w:pPr>
        <w:pStyle w:val="CM61"/>
        <w:spacing w:after="0"/>
        <w:ind w:firstLine="720"/>
        <w:jc w:val="both"/>
        <w:rPr>
          <w:rFonts w:ascii="Arial" w:hAnsi="Arial" w:cs="Arial"/>
          <w:color w:val="214281"/>
        </w:rPr>
      </w:pPr>
      <w:r>
        <w:rPr>
          <w:rFonts w:ascii="Arial" w:hAnsi="Arial" w:cs="Arial"/>
          <w:color w:val="214281"/>
        </w:rPr>
        <w:t xml:space="preserve">Letter grades displaying plus signs shall be used in the calculation of the local (district) weighted grade point average for the purpose of determining class rank, and will not be used for determining athletic eligibility or in meeting the graduation requirements. </w:t>
      </w:r>
    </w:p>
    <w:p w:rsidR="00E222C3" w:rsidRPr="004F58B0" w:rsidRDefault="00E222C3" w:rsidP="00E222C3">
      <w:pPr>
        <w:pStyle w:val="CM61"/>
        <w:spacing w:after="0"/>
        <w:ind w:firstLine="720"/>
        <w:jc w:val="both"/>
        <w:rPr>
          <w:rFonts w:ascii="Arial" w:hAnsi="Arial" w:cs="Arial"/>
          <w:color w:val="214281"/>
        </w:rPr>
      </w:pPr>
      <w:r>
        <w:rPr>
          <w:rFonts w:ascii="Arial" w:hAnsi="Arial" w:cs="Arial"/>
          <w:color w:val="214281"/>
        </w:rPr>
        <w:t>At the high school level, credit is granted on the semester basis. One-half credit is given for passing a semester’s work in a course.  The semester grade for each course is determined by totaling the points earned in both nine week grading periods with the points earned on the semester examination. The point values assigned to the letter grades for each nine week grading period and the semester examination are as follows:</w:t>
      </w:r>
    </w:p>
    <w:p w:rsidR="00E222C3" w:rsidRPr="006A6A30" w:rsidRDefault="00E222C3" w:rsidP="00E222C3">
      <w:pPr>
        <w:pStyle w:val="Default"/>
      </w:pPr>
    </w:p>
    <w:p w:rsidR="00E222C3" w:rsidRDefault="00E222C3" w:rsidP="00E222C3">
      <w:pPr>
        <w:pStyle w:val="CM63"/>
        <w:spacing w:line="288" w:lineRule="atLeast"/>
        <w:rPr>
          <w:rFonts w:ascii="Arial" w:hAnsi="Arial" w:cs="Arial"/>
          <w:color w:val="214281"/>
        </w:rPr>
      </w:pPr>
      <w:r>
        <w:rPr>
          <w:rFonts w:ascii="Arial" w:hAnsi="Arial" w:cs="Arial"/>
          <w:color w:val="214281"/>
          <w:u w:val="single"/>
        </w:rPr>
        <w:t xml:space="preserve">9 WEEKS EXAM </w:t>
      </w:r>
    </w:p>
    <w:tbl>
      <w:tblPr>
        <w:tblW w:w="4770" w:type="dxa"/>
        <w:tblInd w:w="2178" w:type="dxa"/>
        <w:tblLook w:val="0000" w:firstRow="0" w:lastRow="0" w:firstColumn="0" w:lastColumn="0" w:noHBand="0" w:noVBand="0"/>
      </w:tblPr>
      <w:tblGrid>
        <w:gridCol w:w="720"/>
        <w:gridCol w:w="621"/>
        <w:gridCol w:w="1424"/>
        <w:gridCol w:w="719"/>
        <w:gridCol w:w="1286"/>
      </w:tblGrid>
      <w:tr w:rsidR="00E222C3" w:rsidTr="002B7B44">
        <w:tblPrEx>
          <w:tblCellMar>
            <w:top w:w="0" w:type="dxa"/>
            <w:bottom w:w="0" w:type="dxa"/>
          </w:tblCellMar>
        </w:tblPrEx>
        <w:trPr>
          <w:trHeight w:val="260"/>
        </w:trPr>
        <w:tc>
          <w:tcPr>
            <w:tcW w:w="720" w:type="dxa"/>
          </w:tcPr>
          <w:p w:rsidR="00E222C3" w:rsidRDefault="00E222C3" w:rsidP="002B7B44">
            <w:pPr>
              <w:pStyle w:val="Default"/>
              <w:rPr>
                <w:rFonts w:ascii="Arial" w:hAnsi="Arial" w:cs="Arial"/>
                <w:color w:val="214281"/>
              </w:rPr>
            </w:pPr>
            <w:r>
              <w:rPr>
                <w:rFonts w:ascii="Arial" w:hAnsi="Arial" w:cs="Arial"/>
                <w:color w:val="214281"/>
              </w:rPr>
              <w:t>A</w:t>
            </w:r>
          </w:p>
        </w:tc>
        <w:tc>
          <w:tcPr>
            <w:tcW w:w="621" w:type="dxa"/>
            <w:vAlign w:val="center"/>
          </w:tcPr>
          <w:p w:rsidR="00E222C3" w:rsidRDefault="00E222C3" w:rsidP="002B7B44">
            <w:pPr>
              <w:pStyle w:val="Default"/>
              <w:rPr>
                <w:rFonts w:ascii="Arial" w:hAnsi="Arial" w:cs="Arial"/>
                <w:color w:val="214281"/>
              </w:rPr>
            </w:pPr>
          </w:p>
        </w:tc>
        <w:tc>
          <w:tcPr>
            <w:tcW w:w="1424" w:type="dxa"/>
          </w:tcPr>
          <w:p w:rsidR="00E222C3" w:rsidRDefault="00E222C3" w:rsidP="002B7B44">
            <w:pPr>
              <w:pStyle w:val="Default"/>
              <w:jc w:val="right"/>
              <w:rPr>
                <w:rFonts w:ascii="Arial" w:hAnsi="Arial" w:cs="Arial"/>
                <w:color w:val="214281"/>
              </w:rPr>
            </w:pPr>
            <w:r>
              <w:rPr>
                <w:rFonts w:ascii="Arial" w:hAnsi="Arial" w:cs="Arial"/>
                <w:color w:val="214281"/>
              </w:rPr>
              <w:t xml:space="preserve">12.0 points </w:t>
            </w:r>
          </w:p>
        </w:tc>
        <w:tc>
          <w:tcPr>
            <w:tcW w:w="719" w:type="dxa"/>
            <w:vAlign w:val="center"/>
          </w:tcPr>
          <w:p w:rsidR="00E222C3" w:rsidRDefault="00E222C3" w:rsidP="002B7B44">
            <w:pPr>
              <w:pStyle w:val="Default"/>
              <w:rPr>
                <w:rFonts w:ascii="Arial" w:hAnsi="Arial" w:cs="Arial"/>
                <w:color w:val="214281"/>
              </w:rPr>
            </w:pPr>
          </w:p>
        </w:tc>
        <w:tc>
          <w:tcPr>
            <w:tcW w:w="1286" w:type="dxa"/>
          </w:tcPr>
          <w:p w:rsidR="00E222C3" w:rsidRDefault="00E222C3" w:rsidP="002B7B44">
            <w:pPr>
              <w:pStyle w:val="Default"/>
              <w:rPr>
                <w:rFonts w:ascii="Arial" w:hAnsi="Arial" w:cs="Arial"/>
                <w:color w:val="214281"/>
              </w:rPr>
            </w:pPr>
            <w:r>
              <w:rPr>
                <w:rFonts w:ascii="Arial" w:hAnsi="Arial" w:cs="Arial"/>
                <w:color w:val="214281"/>
              </w:rPr>
              <w:t xml:space="preserve">8 points </w:t>
            </w:r>
          </w:p>
        </w:tc>
      </w:tr>
      <w:tr w:rsidR="00E222C3" w:rsidTr="002B7B44">
        <w:tblPrEx>
          <w:tblCellMar>
            <w:top w:w="0" w:type="dxa"/>
            <w:bottom w:w="0" w:type="dxa"/>
          </w:tblCellMar>
        </w:tblPrEx>
        <w:trPr>
          <w:trHeight w:val="288"/>
        </w:trPr>
        <w:tc>
          <w:tcPr>
            <w:tcW w:w="1341" w:type="dxa"/>
            <w:gridSpan w:val="2"/>
          </w:tcPr>
          <w:p w:rsidR="00E222C3" w:rsidRDefault="00E222C3" w:rsidP="002B7B44">
            <w:pPr>
              <w:pStyle w:val="Default"/>
              <w:rPr>
                <w:rFonts w:ascii="Arial" w:hAnsi="Arial" w:cs="Arial"/>
                <w:color w:val="214281"/>
              </w:rPr>
            </w:pPr>
            <w:r>
              <w:rPr>
                <w:rFonts w:ascii="Arial" w:hAnsi="Arial" w:cs="Arial"/>
                <w:color w:val="214281"/>
              </w:rPr>
              <w:t xml:space="preserve">B+ </w:t>
            </w:r>
          </w:p>
        </w:tc>
        <w:tc>
          <w:tcPr>
            <w:tcW w:w="1424" w:type="dxa"/>
          </w:tcPr>
          <w:p w:rsidR="00E222C3" w:rsidRDefault="00E222C3" w:rsidP="002B7B44">
            <w:pPr>
              <w:pStyle w:val="Default"/>
              <w:rPr>
                <w:rFonts w:ascii="Arial" w:hAnsi="Arial" w:cs="Arial"/>
                <w:color w:val="214281"/>
              </w:rPr>
            </w:pPr>
            <w:r>
              <w:rPr>
                <w:rFonts w:ascii="Arial" w:hAnsi="Arial" w:cs="Arial"/>
                <w:color w:val="214281"/>
              </w:rPr>
              <w:t xml:space="preserve">10.5 points </w:t>
            </w:r>
          </w:p>
        </w:tc>
        <w:tc>
          <w:tcPr>
            <w:tcW w:w="719" w:type="dxa"/>
            <w:vAlign w:val="center"/>
          </w:tcPr>
          <w:p w:rsidR="00E222C3" w:rsidRDefault="00E222C3" w:rsidP="002B7B44">
            <w:pPr>
              <w:pStyle w:val="Default"/>
              <w:jc w:val="right"/>
              <w:rPr>
                <w:rFonts w:ascii="Arial" w:hAnsi="Arial" w:cs="Arial"/>
                <w:color w:val="214281"/>
              </w:rPr>
            </w:pPr>
          </w:p>
        </w:tc>
        <w:tc>
          <w:tcPr>
            <w:tcW w:w="1286" w:type="dxa"/>
          </w:tcPr>
          <w:p w:rsidR="00E222C3" w:rsidRDefault="00E222C3" w:rsidP="002B7B44">
            <w:pPr>
              <w:pStyle w:val="Default"/>
              <w:rPr>
                <w:rFonts w:ascii="Arial" w:hAnsi="Arial" w:cs="Arial"/>
                <w:color w:val="214281"/>
              </w:rPr>
            </w:pPr>
            <w:r>
              <w:rPr>
                <w:rFonts w:ascii="Arial" w:hAnsi="Arial" w:cs="Arial"/>
                <w:color w:val="214281"/>
              </w:rPr>
              <w:t xml:space="preserve">7 points </w:t>
            </w:r>
          </w:p>
        </w:tc>
      </w:tr>
      <w:tr w:rsidR="00E222C3" w:rsidTr="002B7B44">
        <w:tblPrEx>
          <w:tblCellMar>
            <w:top w:w="0" w:type="dxa"/>
            <w:bottom w:w="0" w:type="dxa"/>
          </w:tblCellMar>
        </w:tblPrEx>
        <w:trPr>
          <w:trHeight w:val="288"/>
        </w:trPr>
        <w:tc>
          <w:tcPr>
            <w:tcW w:w="720" w:type="dxa"/>
          </w:tcPr>
          <w:p w:rsidR="00E222C3" w:rsidRDefault="00E222C3" w:rsidP="002B7B44">
            <w:pPr>
              <w:pStyle w:val="Default"/>
              <w:rPr>
                <w:rFonts w:ascii="Arial" w:hAnsi="Arial" w:cs="Arial"/>
                <w:color w:val="214281"/>
              </w:rPr>
            </w:pPr>
            <w:r>
              <w:rPr>
                <w:rFonts w:ascii="Arial" w:hAnsi="Arial" w:cs="Arial"/>
                <w:color w:val="214281"/>
              </w:rPr>
              <w:t xml:space="preserve">B </w:t>
            </w:r>
          </w:p>
        </w:tc>
        <w:tc>
          <w:tcPr>
            <w:tcW w:w="621" w:type="dxa"/>
            <w:vAlign w:val="center"/>
          </w:tcPr>
          <w:p w:rsidR="00E222C3" w:rsidRDefault="00E222C3" w:rsidP="002B7B44">
            <w:pPr>
              <w:pStyle w:val="Default"/>
              <w:rPr>
                <w:rFonts w:ascii="Arial" w:hAnsi="Arial" w:cs="Arial"/>
                <w:color w:val="214281"/>
              </w:rPr>
            </w:pPr>
          </w:p>
        </w:tc>
        <w:tc>
          <w:tcPr>
            <w:tcW w:w="1424" w:type="dxa"/>
          </w:tcPr>
          <w:p w:rsidR="00E222C3" w:rsidRDefault="00E222C3" w:rsidP="002B7B44">
            <w:pPr>
              <w:pStyle w:val="Default"/>
              <w:jc w:val="right"/>
              <w:rPr>
                <w:rFonts w:ascii="Arial" w:hAnsi="Arial" w:cs="Arial"/>
                <w:color w:val="214281"/>
              </w:rPr>
            </w:pPr>
            <w:r>
              <w:rPr>
                <w:rFonts w:ascii="Arial" w:hAnsi="Arial" w:cs="Arial"/>
                <w:color w:val="214281"/>
              </w:rPr>
              <w:t xml:space="preserve">  9.0 points </w:t>
            </w:r>
          </w:p>
        </w:tc>
        <w:tc>
          <w:tcPr>
            <w:tcW w:w="719" w:type="dxa"/>
            <w:vAlign w:val="center"/>
          </w:tcPr>
          <w:p w:rsidR="00E222C3" w:rsidRDefault="00E222C3" w:rsidP="002B7B44">
            <w:pPr>
              <w:pStyle w:val="Default"/>
              <w:rPr>
                <w:rFonts w:ascii="Arial" w:hAnsi="Arial" w:cs="Arial"/>
                <w:color w:val="214281"/>
              </w:rPr>
            </w:pPr>
          </w:p>
        </w:tc>
        <w:tc>
          <w:tcPr>
            <w:tcW w:w="1286" w:type="dxa"/>
          </w:tcPr>
          <w:p w:rsidR="00E222C3" w:rsidRDefault="00E222C3" w:rsidP="002B7B44">
            <w:pPr>
              <w:pStyle w:val="Default"/>
              <w:rPr>
                <w:rFonts w:ascii="Arial" w:hAnsi="Arial" w:cs="Arial"/>
                <w:color w:val="214281"/>
              </w:rPr>
            </w:pPr>
            <w:r>
              <w:rPr>
                <w:rFonts w:ascii="Arial" w:hAnsi="Arial" w:cs="Arial"/>
                <w:color w:val="214281"/>
              </w:rPr>
              <w:t xml:space="preserve">6 points </w:t>
            </w:r>
          </w:p>
        </w:tc>
      </w:tr>
      <w:tr w:rsidR="00E222C3" w:rsidTr="002B7B44">
        <w:tblPrEx>
          <w:tblCellMar>
            <w:top w:w="0" w:type="dxa"/>
            <w:bottom w:w="0" w:type="dxa"/>
          </w:tblCellMar>
        </w:tblPrEx>
        <w:trPr>
          <w:trHeight w:val="288"/>
        </w:trPr>
        <w:tc>
          <w:tcPr>
            <w:tcW w:w="1341" w:type="dxa"/>
            <w:gridSpan w:val="2"/>
          </w:tcPr>
          <w:p w:rsidR="00E222C3" w:rsidRDefault="00E222C3" w:rsidP="002B7B44">
            <w:pPr>
              <w:pStyle w:val="Default"/>
              <w:rPr>
                <w:rFonts w:ascii="Arial" w:hAnsi="Arial" w:cs="Arial"/>
                <w:color w:val="214281"/>
              </w:rPr>
            </w:pPr>
            <w:r>
              <w:rPr>
                <w:rFonts w:ascii="Arial" w:hAnsi="Arial" w:cs="Arial"/>
                <w:color w:val="214281"/>
              </w:rPr>
              <w:t>C</w:t>
            </w:r>
            <w:proofErr w:type="gramStart"/>
            <w:r>
              <w:rPr>
                <w:rFonts w:ascii="Arial" w:hAnsi="Arial" w:cs="Arial"/>
                <w:color w:val="214281"/>
              </w:rPr>
              <w:t>+ .</w:t>
            </w:r>
            <w:proofErr w:type="gramEnd"/>
          </w:p>
        </w:tc>
        <w:tc>
          <w:tcPr>
            <w:tcW w:w="1424" w:type="dxa"/>
          </w:tcPr>
          <w:p w:rsidR="00E222C3" w:rsidRDefault="00E222C3" w:rsidP="002B7B44">
            <w:pPr>
              <w:pStyle w:val="Default"/>
              <w:rPr>
                <w:rFonts w:ascii="Arial" w:hAnsi="Arial" w:cs="Arial"/>
                <w:color w:val="214281"/>
              </w:rPr>
            </w:pPr>
            <w:r>
              <w:rPr>
                <w:rFonts w:ascii="Arial" w:hAnsi="Arial" w:cs="Arial"/>
                <w:color w:val="214281"/>
              </w:rPr>
              <w:t xml:space="preserve">  7.5 points </w:t>
            </w:r>
          </w:p>
        </w:tc>
        <w:tc>
          <w:tcPr>
            <w:tcW w:w="719" w:type="dxa"/>
            <w:vAlign w:val="center"/>
          </w:tcPr>
          <w:p w:rsidR="00E222C3" w:rsidRDefault="00E222C3" w:rsidP="002B7B44">
            <w:pPr>
              <w:pStyle w:val="Default"/>
              <w:jc w:val="right"/>
              <w:rPr>
                <w:rFonts w:ascii="Arial" w:hAnsi="Arial" w:cs="Arial"/>
                <w:color w:val="214281"/>
              </w:rPr>
            </w:pPr>
          </w:p>
        </w:tc>
        <w:tc>
          <w:tcPr>
            <w:tcW w:w="1286" w:type="dxa"/>
          </w:tcPr>
          <w:p w:rsidR="00E222C3" w:rsidRDefault="00E222C3" w:rsidP="002B7B44">
            <w:pPr>
              <w:pStyle w:val="Default"/>
              <w:rPr>
                <w:rFonts w:ascii="Arial" w:hAnsi="Arial" w:cs="Arial"/>
                <w:color w:val="214281"/>
              </w:rPr>
            </w:pPr>
            <w:r>
              <w:rPr>
                <w:rFonts w:ascii="Arial" w:hAnsi="Arial" w:cs="Arial"/>
                <w:color w:val="214281"/>
              </w:rPr>
              <w:t xml:space="preserve">5 points </w:t>
            </w:r>
          </w:p>
        </w:tc>
      </w:tr>
      <w:tr w:rsidR="00E222C3" w:rsidTr="002B7B44">
        <w:tblPrEx>
          <w:tblCellMar>
            <w:top w:w="0" w:type="dxa"/>
            <w:bottom w:w="0" w:type="dxa"/>
          </w:tblCellMar>
        </w:tblPrEx>
        <w:trPr>
          <w:trHeight w:val="288"/>
        </w:trPr>
        <w:tc>
          <w:tcPr>
            <w:tcW w:w="720" w:type="dxa"/>
          </w:tcPr>
          <w:p w:rsidR="00E222C3" w:rsidRDefault="00E222C3" w:rsidP="002B7B44">
            <w:pPr>
              <w:pStyle w:val="Default"/>
              <w:rPr>
                <w:rFonts w:ascii="Arial" w:hAnsi="Arial" w:cs="Arial"/>
                <w:color w:val="214281"/>
              </w:rPr>
            </w:pPr>
            <w:r>
              <w:rPr>
                <w:rFonts w:ascii="Arial" w:hAnsi="Arial" w:cs="Arial"/>
                <w:color w:val="214281"/>
              </w:rPr>
              <w:t xml:space="preserve">C </w:t>
            </w:r>
          </w:p>
        </w:tc>
        <w:tc>
          <w:tcPr>
            <w:tcW w:w="621" w:type="dxa"/>
            <w:vAlign w:val="center"/>
          </w:tcPr>
          <w:p w:rsidR="00E222C3" w:rsidRDefault="00E222C3" w:rsidP="002B7B44">
            <w:pPr>
              <w:pStyle w:val="Default"/>
              <w:rPr>
                <w:rFonts w:ascii="Arial" w:hAnsi="Arial" w:cs="Arial"/>
                <w:color w:val="214281"/>
              </w:rPr>
            </w:pPr>
          </w:p>
        </w:tc>
        <w:tc>
          <w:tcPr>
            <w:tcW w:w="1424" w:type="dxa"/>
          </w:tcPr>
          <w:p w:rsidR="00E222C3" w:rsidRDefault="00E222C3" w:rsidP="002B7B44">
            <w:pPr>
              <w:pStyle w:val="Default"/>
              <w:jc w:val="right"/>
              <w:rPr>
                <w:rFonts w:ascii="Arial" w:hAnsi="Arial" w:cs="Arial"/>
                <w:color w:val="214281"/>
              </w:rPr>
            </w:pPr>
            <w:r>
              <w:rPr>
                <w:rFonts w:ascii="Arial" w:hAnsi="Arial" w:cs="Arial"/>
                <w:color w:val="214281"/>
              </w:rPr>
              <w:t xml:space="preserve">  6.0 points </w:t>
            </w:r>
          </w:p>
        </w:tc>
        <w:tc>
          <w:tcPr>
            <w:tcW w:w="719" w:type="dxa"/>
            <w:vAlign w:val="center"/>
          </w:tcPr>
          <w:p w:rsidR="00E222C3" w:rsidRDefault="00E222C3" w:rsidP="002B7B44">
            <w:pPr>
              <w:pStyle w:val="Default"/>
              <w:rPr>
                <w:rFonts w:ascii="Arial" w:hAnsi="Arial" w:cs="Arial"/>
                <w:color w:val="214281"/>
              </w:rPr>
            </w:pPr>
          </w:p>
        </w:tc>
        <w:tc>
          <w:tcPr>
            <w:tcW w:w="1286" w:type="dxa"/>
          </w:tcPr>
          <w:p w:rsidR="00E222C3" w:rsidRDefault="00E222C3" w:rsidP="002B7B44">
            <w:pPr>
              <w:pStyle w:val="Default"/>
              <w:rPr>
                <w:rFonts w:ascii="Arial" w:hAnsi="Arial" w:cs="Arial"/>
                <w:color w:val="214281"/>
              </w:rPr>
            </w:pPr>
            <w:r>
              <w:rPr>
                <w:rFonts w:ascii="Arial" w:hAnsi="Arial" w:cs="Arial"/>
                <w:color w:val="214281"/>
              </w:rPr>
              <w:t xml:space="preserve">4 points </w:t>
            </w:r>
          </w:p>
        </w:tc>
      </w:tr>
      <w:tr w:rsidR="00E222C3" w:rsidTr="002B7B44">
        <w:tblPrEx>
          <w:tblCellMar>
            <w:top w:w="0" w:type="dxa"/>
            <w:bottom w:w="0" w:type="dxa"/>
          </w:tblCellMar>
        </w:tblPrEx>
        <w:trPr>
          <w:trHeight w:val="288"/>
        </w:trPr>
        <w:tc>
          <w:tcPr>
            <w:tcW w:w="1341" w:type="dxa"/>
            <w:gridSpan w:val="2"/>
          </w:tcPr>
          <w:p w:rsidR="00E222C3" w:rsidRDefault="00E222C3" w:rsidP="002B7B44">
            <w:pPr>
              <w:pStyle w:val="Default"/>
              <w:rPr>
                <w:rFonts w:ascii="Arial" w:hAnsi="Arial" w:cs="Arial"/>
                <w:color w:val="214281"/>
              </w:rPr>
            </w:pPr>
            <w:r>
              <w:rPr>
                <w:rFonts w:ascii="Arial" w:hAnsi="Arial" w:cs="Arial"/>
                <w:color w:val="214281"/>
              </w:rPr>
              <w:t>D+</w:t>
            </w:r>
          </w:p>
        </w:tc>
        <w:tc>
          <w:tcPr>
            <w:tcW w:w="1424" w:type="dxa"/>
          </w:tcPr>
          <w:p w:rsidR="00E222C3" w:rsidRDefault="00E222C3" w:rsidP="002B7B44">
            <w:pPr>
              <w:pStyle w:val="Default"/>
              <w:rPr>
                <w:rFonts w:ascii="Arial" w:hAnsi="Arial" w:cs="Arial"/>
                <w:color w:val="214281"/>
              </w:rPr>
            </w:pPr>
            <w:r>
              <w:rPr>
                <w:rFonts w:ascii="Arial" w:hAnsi="Arial" w:cs="Arial"/>
                <w:color w:val="214281"/>
              </w:rPr>
              <w:t xml:space="preserve">  4.5 points </w:t>
            </w:r>
          </w:p>
        </w:tc>
        <w:tc>
          <w:tcPr>
            <w:tcW w:w="719" w:type="dxa"/>
            <w:vAlign w:val="center"/>
          </w:tcPr>
          <w:p w:rsidR="00E222C3" w:rsidRDefault="00E222C3" w:rsidP="002B7B44">
            <w:pPr>
              <w:pStyle w:val="Default"/>
              <w:jc w:val="right"/>
              <w:rPr>
                <w:rFonts w:ascii="Arial" w:hAnsi="Arial" w:cs="Arial"/>
                <w:color w:val="214281"/>
              </w:rPr>
            </w:pPr>
          </w:p>
        </w:tc>
        <w:tc>
          <w:tcPr>
            <w:tcW w:w="1286" w:type="dxa"/>
          </w:tcPr>
          <w:p w:rsidR="00E222C3" w:rsidRDefault="00E222C3" w:rsidP="002B7B44">
            <w:pPr>
              <w:pStyle w:val="Default"/>
              <w:rPr>
                <w:rFonts w:ascii="Arial" w:hAnsi="Arial" w:cs="Arial"/>
                <w:color w:val="214281"/>
              </w:rPr>
            </w:pPr>
            <w:r>
              <w:rPr>
                <w:rFonts w:ascii="Arial" w:hAnsi="Arial" w:cs="Arial"/>
                <w:color w:val="214281"/>
              </w:rPr>
              <w:t xml:space="preserve">3 points </w:t>
            </w:r>
          </w:p>
        </w:tc>
      </w:tr>
      <w:tr w:rsidR="00E222C3" w:rsidTr="002B7B44">
        <w:tblPrEx>
          <w:tblCellMar>
            <w:top w:w="0" w:type="dxa"/>
            <w:bottom w:w="0" w:type="dxa"/>
          </w:tblCellMar>
        </w:tblPrEx>
        <w:trPr>
          <w:trHeight w:val="288"/>
        </w:trPr>
        <w:tc>
          <w:tcPr>
            <w:tcW w:w="720" w:type="dxa"/>
          </w:tcPr>
          <w:p w:rsidR="00E222C3" w:rsidRDefault="00E222C3" w:rsidP="002B7B44">
            <w:pPr>
              <w:pStyle w:val="Default"/>
              <w:rPr>
                <w:rFonts w:ascii="Arial" w:hAnsi="Arial" w:cs="Arial"/>
                <w:color w:val="214281"/>
              </w:rPr>
            </w:pPr>
            <w:r>
              <w:rPr>
                <w:rFonts w:ascii="Arial" w:hAnsi="Arial" w:cs="Arial"/>
                <w:color w:val="214281"/>
              </w:rPr>
              <w:t xml:space="preserve">D </w:t>
            </w:r>
          </w:p>
        </w:tc>
        <w:tc>
          <w:tcPr>
            <w:tcW w:w="621" w:type="dxa"/>
            <w:vAlign w:val="center"/>
          </w:tcPr>
          <w:p w:rsidR="00E222C3" w:rsidRDefault="00E222C3" w:rsidP="002B7B44">
            <w:pPr>
              <w:pStyle w:val="Default"/>
              <w:rPr>
                <w:rFonts w:ascii="Arial" w:hAnsi="Arial" w:cs="Arial"/>
                <w:color w:val="214281"/>
              </w:rPr>
            </w:pPr>
          </w:p>
        </w:tc>
        <w:tc>
          <w:tcPr>
            <w:tcW w:w="1424" w:type="dxa"/>
          </w:tcPr>
          <w:p w:rsidR="00E222C3" w:rsidRDefault="00E222C3" w:rsidP="002B7B44">
            <w:pPr>
              <w:pStyle w:val="Default"/>
              <w:jc w:val="right"/>
              <w:rPr>
                <w:rFonts w:ascii="Arial" w:hAnsi="Arial" w:cs="Arial"/>
                <w:color w:val="214281"/>
              </w:rPr>
            </w:pPr>
            <w:r>
              <w:rPr>
                <w:rFonts w:ascii="Arial" w:hAnsi="Arial" w:cs="Arial"/>
                <w:color w:val="214281"/>
              </w:rPr>
              <w:t xml:space="preserve">  3.0 points </w:t>
            </w:r>
          </w:p>
        </w:tc>
        <w:tc>
          <w:tcPr>
            <w:tcW w:w="719" w:type="dxa"/>
            <w:vAlign w:val="center"/>
          </w:tcPr>
          <w:p w:rsidR="00E222C3" w:rsidRDefault="00E222C3" w:rsidP="002B7B44">
            <w:pPr>
              <w:pStyle w:val="Default"/>
              <w:rPr>
                <w:rFonts w:ascii="Arial" w:hAnsi="Arial" w:cs="Arial"/>
                <w:color w:val="214281"/>
              </w:rPr>
            </w:pPr>
          </w:p>
        </w:tc>
        <w:tc>
          <w:tcPr>
            <w:tcW w:w="1286" w:type="dxa"/>
          </w:tcPr>
          <w:p w:rsidR="00E222C3" w:rsidRDefault="00E222C3" w:rsidP="002B7B44">
            <w:pPr>
              <w:pStyle w:val="Default"/>
              <w:rPr>
                <w:rFonts w:ascii="Arial" w:hAnsi="Arial" w:cs="Arial"/>
                <w:color w:val="214281"/>
              </w:rPr>
            </w:pPr>
            <w:r>
              <w:rPr>
                <w:rFonts w:ascii="Arial" w:hAnsi="Arial" w:cs="Arial"/>
                <w:color w:val="214281"/>
              </w:rPr>
              <w:t xml:space="preserve">2 points </w:t>
            </w:r>
          </w:p>
        </w:tc>
      </w:tr>
      <w:tr w:rsidR="00E222C3" w:rsidTr="002B7B44">
        <w:tblPrEx>
          <w:tblCellMar>
            <w:top w:w="0" w:type="dxa"/>
            <w:bottom w:w="0" w:type="dxa"/>
          </w:tblCellMar>
        </w:tblPrEx>
        <w:trPr>
          <w:trHeight w:val="288"/>
        </w:trPr>
        <w:tc>
          <w:tcPr>
            <w:tcW w:w="720" w:type="dxa"/>
          </w:tcPr>
          <w:p w:rsidR="00E222C3" w:rsidRDefault="00E222C3" w:rsidP="002B7B44">
            <w:pPr>
              <w:pStyle w:val="Default"/>
              <w:rPr>
                <w:rFonts w:ascii="Arial" w:hAnsi="Arial" w:cs="Arial"/>
                <w:color w:val="214281"/>
              </w:rPr>
            </w:pPr>
            <w:r>
              <w:rPr>
                <w:rFonts w:ascii="Arial" w:hAnsi="Arial" w:cs="Arial"/>
                <w:color w:val="214281"/>
              </w:rPr>
              <w:t xml:space="preserve">F </w:t>
            </w:r>
          </w:p>
        </w:tc>
        <w:tc>
          <w:tcPr>
            <w:tcW w:w="621" w:type="dxa"/>
            <w:vAlign w:val="center"/>
          </w:tcPr>
          <w:p w:rsidR="00E222C3" w:rsidRDefault="00E222C3" w:rsidP="002B7B44">
            <w:pPr>
              <w:pStyle w:val="Default"/>
              <w:rPr>
                <w:rFonts w:ascii="Arial" w:hAnsi="Arial" w:cs="Arial"/>
                <w:color w:val="214281"/>
              </w:rPr>
            </w:pPr>
          </w:p>
        </w:tc>
        <w:tc>
          <w:tcPr>
            <w:tcW w:w="1424" w:type="dxa"/>
          </w:tcPr>
          <w:p w:rsidR="00E222C3" w:rsidRDefault="00E222C3" w:rsidP="002B7B44">
            <w:pPr>
              <w:pStyle w:val="Default"/>
              <w:jc w:val="right"/>
              <w:rPr>
                <w:rFonts w:ascii="Arial" w:hAnsi="Arial" w:cs="Arial"/>
                <w:color w:val="214281"/>
              </w:rPr>
            </w:pPr>
            <w:r>
              <w:rPr>
                <w:rFonts w:ascii="Arial" w:hAnsi="Arial" w:cs="Arial"/>
                <w:color w:val="214281"/>
              </w:rPr>
              <w:t xml:space="preserve">.0 points </w:t>
            </w:r>
          </w:p>
        </w:tc>
        <w:tc>
          <w:tcPr>
            <w:tcW w:w="719" w:type="dxa"/>
            <w:vAlign w:val="center"/>
          </w:tcPr>
          <w:p w:rsidR="00E222C3" w:rsidRDefault="00E222C3" w:rsidP="002B7B44">
            <w:pPr>
              <w:pStyle w:val="Default"/>
              <w:rPr>
                <w:rFonts w:ascii="Arial" w:hAnsi="Arial" w:cs="Arial"/>
                <w:color w:val="214281"/>
              </w:rPr>
            </w:pPr>
            <w:r>
              <w:rPr>
                <w:rFonts w:ascii="Arial" w:hAnsi="Arial" w:cs="Arial"/>
                <w:color w:val="214281"/>
              </w:rPr>
              <w:t xml:space="preserve"> </w:t>
            </w:r>
          </w:p>
        </w:tc>
        <w:tc>
          <w:tcPr>
            <w:tcW w:w="1286" w:type="dxa"/>
          </w:tcPr>
          <w:p w:rsidR="00E222C3" w:rsidRDefault="00E222C3" w:rsidP="002B7B44">
            <w:pPr>
              <w:pStyle w:val="Default"/>
              <w:rPr>
                <w:rFonts w:ascii="Arial" w:hAnsi="Arial" w:cs="Arial"/>
                <w:color w:val="214281"/>
              </w:rPr>
            </w:pPr>
            <w:r>
              <w:rPr>
                <w:rFonts w:ascii="Arial" w:hAnsi="Arial" w:cs="Arial"/>
                <w:color w:val="214281"/>
              </w:rPr>
              <w:t xml:space="preserve">0 points </w:t>
            </w:r>
          </w:p>
        </w:tc>
      </w:tr>
      <w:tr w:rsidR="00E222C3" w:rsidTr="002B7B44">
        <w:tblPrEx>
          <w:tblCellMar>
            <w:top w:w="0" w:type="dxa"/>
            <w:bottom w:w="0" w:type="dxa"/>
          </w:tblCellMar>
        </w:tblPrEx>
        <w:trPr>
          <w:trHeight w:val="255"/>
        </w:trPr>
        <w:tc>
          <w:tcPr>
            <w:tcW w:w="720" w:type="dxa"/>
            <w:vAlign w:val="center"/>
          </w:tcPr>
          <w:p w:rsidR="00E222C3" w:rsidRDefault="00E222C3" w:rsidP="002B7B44">
            <w:pPr>
              <w:pStyle w:val="Default"/>
              <w:rPr>
                <w:rFonts w:ascii="Arial" w:hAnsi="Arial" w:cs="Arial"/>
                <w:color w:val="214281"/>
              </w:rPr>
            </w:pPr>
            <w:r>
              <w:rPr>
                <w:rFonts w:ascii="Arial" w:hAnsi="Arial" w:cs="Arial"/>
                <w:color w:val="214281"/>
              </w:rPr>
              <w:t xml:space="preserve">I </w:t>
            </w:r>
          </w:p>
        </w:tc>
        <w:tc>
          <w:tcPr>
            <w:tcW w:w="621" w:type="dxa"/>
            <w:vAlign w:val="bottom"/>
          </w:tcPr>
          <w:p w:rsidR="00E222C3" w:rsidRDefault="00E222C3" w:rsidP="002B7B44">
            <w:pPr>
              <w:pStyle w:val="Default"/>
              <w:rPr>
                <w:rFonts w:ascii="Arial" w:hAnsi="Arial" w:cs="Arial"/>
                <w:color w:val="214281"/>
              </w:rPr>
            </w:pPr>
          </w:p>
        </w:tc>
        <w:tc>
          <w:tcPr>
            <w:tcW w:w="1424" w:type="dxa"/>
            <w:vAlign w:val="center"/>
          </w:tcPr>
          <w:p w:rsidR="00E222C3" w:rsidRDefault="00E222C3" w:rsidP="002B7B44">
            <w:pPr>
              <w:pStyle w:val="Default"/>
              <w:jc w:val="right"/>
              <w:rPr>
                <w:rFonts w:ascii="Arial" w:hAnsi="Arial" w:cs="Arial"/>
                <w:color w:val="214281"/>
              </w:rPr>
            </w:pPr>
            <w:r>
              <w:rPr>
                <w:rFonts w:ascii="Arial" w:hAnsi="Arial" w:cs="Arial"/>
                <w:color w:val="214281"/>
              </w:rPr>
              <w:t xml:space="preserve">.0 points </w:t>
            </w:r>
          </w:p>
        </w:tc>
        <w:tc>
          <w:tcPr>
            <w:tcW w:w="719" w:type="dxa"/>
            <w:vAlign w:val="bottom"/>
          </w:tcPr>
          <w:p w:rsidR="00E222C3" w:rsidRDefault="00E222C3" w:rsidP="002B7B44">
            <w:pPr>
              <w:pStyle w:val="Default"/>
              <w:rPr>
                <w:rFonts w:ascii="Arial" w:hAnsi="Arial" w:cs="Arial"/>
                <w:color w:val="214281"/>
              </w:rPr>
            </w:pPr>
            <w:r>
              <w:rPr>
                <w:rFonts w:ascii="Arial" w:hAnsi="Arial" w:cs="Arial"/>
                <w:color w:val="214281"/>
              </w:rPr>
              <w:t xml:space="preserve"> </w:t>
            </w:r>
          </w:p>
        </w:tc>
        <w:tc>
          <w:tcPr>
            <w:tcW w:w="1286" w:type="dxa"/>
            <w:vAlign w:val="center"/>
          </w:tcPr>
          <w:p w:rsidR="00E222C3" w:rsidRDefault="00E222C3" w:rsidP="002B7B44">
            <w:pPr>
              <w:pStyle w:val="Default"/>
              <w:rPr>
                <w:rFonts w:ascii="Arial" w:hAnsi="Arial" w:cs="Arial"/>
                <w:color w:val="214281"/>
              </w:rPr>
            </w:pPr>
            <w:r>
              <w:rPr>
                <w:rFonts w:ascii="Arial" w:hAnsi="Arial" w:cs="Arial"/>
                <w:color w:val="214281"/>
              </w:rPr>
              <w:t xml:space="preserve">0 points </w:t>
            </w:r>
          </w:p>
        </w:tc>
      </w:tr>
    </w:tbl>
    <w:p w:rsidR="00E222C3" w:rsidRDefault="00E222C3" w:rsidP="00E222C3">
      <w:pPr>
        <w:pStyle w:val="Default"/>
        <w:rPr>
          <w:color w:val="auto"/>
        </w:rPr>
      </w:pPr>
    </w:p>
    <w:p w:rsidR="00E222C3" w:rsidRPr="00593934" w:rsidRDefault="00E222C3" w:rsidP="00E222C3">
      <w:pPr>
        <w:pStyle w:val="CM19"/>
        <w:rPr>
          <w:color w:val="333399"/>
        </w:rPr>
      </w:pPr>
      <w:r w:rsidRPr="00593934">
        <w:rPr>
          <w:color w:val="333399"/>
        </w:rPr>
        <w:t xml:space="preserve">Annual Grades and Promotion/Retention - High Schools Pending School Board </w:t>
      </w:r>
    </w:p>
    <w:p w:rsidR="00E222C3" w:rsidRPr="00593934" w:rsidRDefault="00E222C3" w:rsidP="00E222C3">
      <w:pPr>
        <w:pStyle w:val="CM61"/>
        <w:spacing w:line="288" w:lineRule="atLeast"/>
        <w:rPr>
          <w:color w:val="333399"/>
        </w:rPr>
      </w:pPr>
      <w:proofErr w:type="gramStart"/>
      <w:r w:rsidRPr="00593934">
        <w:rPr>
          <w:color w:val="333399"/>
        </w:rPr>
        <w:t>a</w:t>
      </w:r>
      <w:r>
        <w:rPr>
          <w:color w:val="333399"/>
        </w:rPr>
        <w:t>pproval</w:t>
      </w:r>
      <w:proofErr w:type="gramEnd"/>
      <w:r w:rsidRPr="00593934">
        <w:rPr>
          <w:color w:val="333399"/>
        </w:rPr>
        <w:t xml:space="preserve">. The semester grade is assigned as follows: Approval of Point System </w:t>
      </w:r>
    </w:p>
    <w:tbl>
      <w:tblPr>
        <w:tblW w:w="0" w:type="auto"/>
        <w:tblInd w:w="828" w:type="dxa"/>
        <w:tblLook w:val="01E0" w:firstRow="1" w:lastRow="1" w:firstColumn="1" w:lastColumn="1" w:noHBand="0" w:noVBand="0"/>
      </w:tblPr>
      <w:tblGrid>
        <w:gridCol w:w="4269"/>
        <w:gridCol w:w="4191"/>
      </w:tblGrid>
      <w:tr w:rsidR="00E222C3" w:rsidTr="002B7B44">
        <w:tc>
          <w:tcPr>
            <w:tcW w:w="4269" w:type="dxa"/>
          </w:tcPr>
          <w:p w:rsidR="00E222C3" w:rsidRDefault="00E222C3" w:rsidP="002B7B44">
            <w:pPr>
              <w:pStyle w:val="Body"/>
              <w:numPr>
                <w:ilvl w:val="0"/>
                <w:numId w:val="0"/>
              </w:numPr>
              <w:ind w:left="720"/>
            </w:pPr>
            <w:r>
              <w:t>30 or above points</w:t>
            </w:r>
            <w:r>
              <w:tab/>
            </w:r>
            <w:r>
              <w:tab/>
              <w:t>A</w:t>
            </w:r>
          </w:p>
          <w:p w:rsidR="00E222C3" w:rsidRDefault="00E222C3" w:rsidP="002B7B44">
            <w:pPr>
              <w:pStyle w:val="Body"/>
              <w:numPr>
                <w:ilvl w:val="0"/>
                <w:numId w:val="0"/>
              </w:numPr>
              <w:ind w:left="720"/>
            </w:pPr>
            <w:r>
              <w:t>26 through 29.5 points</w:t>
            </w:r>
            <w:r>
              <w:tab/>
              <w:t>B+</w:t>
            </w:r>
          </w:p>
          <w:p w:rsidR="00E222C3" w:rsidRDefault="00E222C3" w:rsidP="002B7B44">
            <w:pPr>
              <w:pStyle w:val="Body"/>
              <w:numPr>
                <w:ilvl w:val="0"/>
                <w:numId w:val="0"/>
              </w:numPr>
              <w:ind w:left="720"/>
            </w:pPr>
            <w:r>
              <w:t>22 through 25.5 points</w:t>
            </w:r>
            <w:r>
              <w:tab/>
              <w:t>B</w:t>
            </w:r>
          </w:p>
          <w:p w:rsidR="00E222C3" w:rsidRDefault="00E222C3" w:rsidP="002B7B44">
            <w:pPr>
              <w:pStyle w:val="Body"/>
              <w:numPr>
                <w:ilvl w:val="0"/>
                <w:numId w:val="0"/>
              </w:numPr>
              <w:ind w:left="720"/>
            </w:pPr>
            <w:r>
              <w:t>18 through 21.5 points</w:t>
            </w:r>
            <w:r>
              <w:tab/>
              <w:t>C+</w:t>
            </w:r>
          </w:p>
        </w:tc>
        <w:tc>
          <w:tcPr>
            <w:tcW w:w="4191" w:type="dxa"/>
          </w:tcPr>
          <w:p w:rsidR="00E222C3" w:rsidRDefault="00E222C3" w:rsidP="002B7B44">
            <w:pPr>
              <w:pStyle w:val="Body"/>
              <w:numPr>
                <w:ilvl w:val="0"/>
                <w:numId w:val="0"/>
              </w:numPr>
              <w:ind w:left="360" w:firstLine="360"/>
            </w:pPr>
            <w:r>
              <w:t>14 through 17.5 points</w:t>
            </w:r>
            <w:r>
              <w:tab/>
              <w:t>C</w:t>
            </w:r>
          </w:p>
          <w:p w:rsidR="00E222C3" w:rsidRDefault="00E222C3" w:rsidP="002B7B44">
            <w:pPr>
              <w:pStyle w:val="Body"/>
              <w:numPr>
                <w:ilvl w:val="0"/>
                <w:numId w:val="0"/>
              </w:numPr>
              <w:ind w:left="360" w:firstLine="360"/>
            </w:pPr>
            <w:r>
              <w:t>10 through 13.5 points</w:t>
            </w:r>
            <w:r>
              <w:tab/>
              <w:t>D+</w:t>
            </w:r>
          </w:p>
          <w:p w:rsidR="00E222C3" w:rsidRDefault="00E222C3" w:rsidP="002B7B44">
            <w:pPr>
              <w:pStyle w:val="Body"/>
              <w:numPr>
                <w:ilvl w:val="0"/>
                <w:numId w:val="0"/>
              </w:numPr>
              <w:ind w:left="360" w:firstLine="360"/>
            </w:pPr>
            <w:r>
              <w:t xml:space="preserve">  5 through 9.5 points </w:t>
            </w:r>
            <w:r>
              <w:tab/>
              <w:t>D</w:t>
            </w:r>
          </w:p>
          <w:p w:rsidR="00E222C3" w:rsidRDefault="00E222C3" w:rsidP="002B7B44">
            <w:pPr>
              <w:pStyle w:val="Body"/>
              <w:numPr>
                <w:ilvl w:val="0"/>
                <w:numId w:val="0"/>
              </w:numPr>
              <w:ind w:left="360" w:firstLine="360"/>
            </w:pPr>
            <w:r>
              <w:t xml:space="preserve"> Below 5 points</w:t>
            </w:r>
            <w:r>
              <w:tab/>
            </w:r>
            <w:r>
              <w:tab/>
              <w:t>F</w:t>
            </w:r>
          </w:p>
        </w:tc>
      </w:tr>
    </w:tbl>
    <w:p w:rsidR="00E222C3" w:rsidRDefault="00E222C3" w:rsidP="00E222C3">
      <w:pPr>
        <w:pStyle w:val="Body"/>
        <w:numPr>
          <w:ilvl w:val="0"/>
          <w:numId w:val="0"/>
        </w:numPr>
        <w:ind w:left="360" w:firstLine="360"/>
      </w:pPr>
    </w:p>
    <w:p w:rsidR="00E222C3" w:rsidRDefault="00E222C3" w:rsidP="00E222C3">
      <w:pPr>
        <w:pStyle w:val="Body"/>
        <w:numPr>
          <w:ilvl w:val="0"/>
          <w:numId w:val="0"/>
        </w:numPr>
        <w:rPr>
          <w:color w:val="auto"/>
        </w:rPr>
      </w:pPr>
    </w:p>
    <w:p w:rsidR="00E222C3" w:rsidRPr="0012556B" w:rsidRDefault="00E222C3" w:rsidP="00E222C3">
      <w:pPr>
        <w:jc w:val="both"/>
        <w:rPr>
          <w:rFonts w:ascii="Arial" w:hAnsi="Arial"/>
          <w:color w:val="214281"/>
        </w:rPr>
      </w:pPr>
      <w:r w:rsidRPr="0012556B">
        <w:rPr>
          <w:rFonts w:ascii="Arial" w:hAnsi="Arial"/>
          <w:color w:val="214281"/>
        </w:rPr>
        <w:t xml:space="preserve">To receive a passing mark for the semester grade in a subject, the student shall have previously earned at least a passing mark in </w:t>
      </w:r>
    </w:p>
    <w:p w:rsidR="00E222C3" w:rsidRDefault="00E222C3" w:rsidP="00E222C3">
      <w:pPr>
        <w:pStyle w:val="Body"/>
      </w:pPr>
      <w:r>
        <w:t xml:space="preserve">both nine-week grading periods, or </w:t>
      </w:r>
    </w:p>
    <w:p w:rsidR="00E222C3" w:rsidRDefault="00E222C3" w:rsidP="00E222C3">
      <w:pPr>
        <w:pStyle w:val="Body"/>
      </w:pPr>
      <w:proofErr w:type="gramStart"/>
      <w:r>
        <w:t>one</w:t>
      </w:r>
      <w:proofErr w:type="gramEnd"/>
      <w:r>
        <w:t xml:space="preserve"> nine-week grading period and the semester examination. </w:t>
      </w:r>
    </w:p>
    <w:p w:rsidR="00E222C3" w:rsidRDefault="00E222C3" w:rsidP="00E222C3">
      <w:pPr>
        <w:pStyle w:val="Body"/>
      </w:pPr>
      <w:proofErr w:type="gramStart"/>
      <w:r>
        <w:t>the</w:t>
      </w:r>
      <w:proofErr w:type="gramEnd"/>
      <w:r>
        <w:t xml:space="preserve"> weight of the final examination shall equal one-fourth of the semester grade. </w:t>
      </w:r>
    </w:p>
    <w:p w:rsidR="00E222C3" w:rsidRDefault="00E222C3" w:rsidP="00E222C3">
      <w:pPr>
        <w:pStyle w:val="Default"/>
        <w:rPr>
          <w:color w:val="auto"/>
        </w:rPr>
      </w:pPr>
    </w:p>
    <w:p w:rsidR="00E222C3" w:rsidRPr="0012556B" w:rsidRDefault="00E222C3" w:rsidP="00E222C3">
      <w:pPr>
        <w:jc w:val="both"/>
        <w:rPr>
          <w:rFonts w:ascii="Arial" w:hAnsi="Arial"/>
          <w:color w:val="214281"/>
        </w:rPr>
      </w:pPr>
      <w:r w:rsidRPr="0012556B">
        <w:rPr>
          <w:rFonts w:ascii="Arial" w:hAnsi="Arial"/>
          <w:color w:val="214281"/>
        </w:rPr>
        <w:t xml:space="preserve">b. Any student with a GPA below 2.5 shall have their parent or guardian notified that good work is necessary to ensure that high school graduation requirements are met. Students </w:t>
      </w:r>
      <w:r w:rsidRPr="0012556B">
        <w:rPr>
          <w:rFonts w:ascii="Arial" w:hAnsi="Arial"/>
          <w:color w:val="214281"/>
        </w:rPr>
        <w:lastRenderedPageBreak/>
        <w:t xml:space="preserve">will be assisted in meeting these requirements through a variety of options which may include, but are not limited to: </w:t>
      </w:r>
    </w:p>
    <w:p w:rsidR="00E222C3" w:rsidRDefault="00E222C3" w:rsidP="00E222C3">
      <w:pPr>
        <w:pStyle w:val="Body"/>
      </w:pPr>
      <w:r>
        <w:t xml:space="preserve">forgiveness rule * </w:t>
      </w:r>
    </w:p>
    <w:p w:rsidR="00E222C3" w:rsidRDefault="00E222C3" w:rsidP="00E222C3">
      <w:pPr>
        <w:pStyle w:val="Body"/>
      </w:pPr>
      <w:r>
        <w:t xml:space="preserve">summer school attendance </w:t>
      </w:r>
    </w:p>
    <w:p w:rsidR="00E222C3" w:rsidRDefault="00E222C3" w:rsidP="00E222C3">
      <w:pPr>
        <w:pStyle w:val="Body"/>
      </w:pPr>
      <w:r>
        <w:t xml:space="preserve">special counseling </w:t>
      </w:r>
    </w:p>
    <w:p w:rsidR="00E222C3" w:rsidRDefault="00E222C3" w:rsidP="00E222C3">
      <w:pPr>
        <w:pStyle w:val="Body"/>
      </w:pPr>
      <w:r>
        <w:t xml:space="preserve">volunteer and /or peer tutors </w:t>
      </w:r>
    </w:p>
    <w:p w:rsidR="00E222C3" w:rsidRDefault="00E222C3" w:rsidP="00E222C3">
      <w:pPr>
        <w:pStyle w:val="Body"/>
      </w:pPr>
      <w:r>
        <w:t xml:space="preserve">school-sponsored help sessions </w:t>
      </w:r>
    </w:p>
    <w:p w:rsidR="00E222C3" w:rsidRDefault="00E222C3" w:rsidP="00E222C3">
      <w:pPr>
        <w:pStyle w:val="Body"/>
      </w:pPr>
      <w:r>
        <w:t xml:space="preserve">homework hotlines </w:t>
      </w:r>
    </w:p>
    <w:p w:rsidR="00E222C3" w:rsidRDefault="00E222C3" w:rsidP="00E222C3">
      <w:pPr>
        <w:pStyle w:val="Body"/>
      </w:pPr>
      <w:r>
        <w:t xml:space="preserve">study skills classes </w:t>
      </w:r>
    </w:p>
    <w:p w:rsidR="00E222C3" w:rsidRDefault="00E222C3" w:rsidP="00E222C3">
      <w:pPr>
        <w:pStyle w:val="Body"/>
      </w:pPr>
      <w:r>
        <w:t xml:space="preserve">online coursework </w:t>
      </w:r>
    </w:p>
    <w:p w:rsidR="00E222C3" w:rsidRDefault="00E222C3" w:rsidP="00E222C3">
      <w:pPr>
        <w:pStyle w:val="Default"/>
        <w:jc w:val="both"/>
        <w:rPr>
          <w:color w:val="auto"/>
        </w:rPr>
      </w:pPr>
    </w:p>
    <w:p w:rsidR="00E222C3" w:rsidRDefault="00E222C3" w:rsidP="00E222C3">
      <w:pPr>
        <w:pStyle w:val="CM61"/>
        <w:spacing w:line="288" w:lineRule="atLeast"/>
        <w:jc w:val="both"/>
        <w:rPr>
          <w:rFonts w:ascii="Arial" w:hAnsi="Arial" w:cs="Arial"/>
        </w:rPr>
      </w:pPr>
      <w:r>
        <w:t xml:space="preserve">* Forgiveness rule: Students may replace a grade of </w:t>
      </w:r>
      <w:r>
        <w:rPr>
          <w:rFonts w:ascii="Arial" w:hAnsi="Arial" w:cs="Arial"/>
          <w:b/>
          <w:bCs/>
        </w:rPr>
        <w:t>D, F,</w:t>
      </w:r>
      <w:r>
        <w:rPr>
          <w:rFonts w:ascii="Arial" w:hAnsi="Arial" w:cs="Arial"/>
        </w:rPr>
        <w:t xml:space="preserve"> or </w:t>
      </w:r>
      <w:r>
        <w:rPr>
          <w:rFonts w:ascii="Arial" w:hAnsi="Arial" w:cs="Arial"/>
          <w:b/>
          <w:bCs/>
        </w:rPr>
        <w:t>I</w:t>
      </w:r>
      <w:r>
        <w:rPr>
          <w:rFonts w:ascii="Arial" w:hAnsi="Arial" w:cs="Arial"/>
        </w:rPr>
        <w:t xml:space="preserve"> in a required course, if they earn a grade of </w:t>
      </w:r>
      <w:r>
        <w:rPr>
          <w:rFonts w:ascii="Arial" w:hAnsi="Arial" w:cs="Arial"/>
          <w:b/>
          <w:bCs/>
        </w:rPr>
        <w:t>C</w:t>
      </w:r>
      <w:r>
        <w:rPr>
          <w:rFonts w:ascii="Arial" w:hAnsi="Arial" w:cs="Arial"/>
        </w:rPr>
        <w:t xml:space="preserve"> or better in the same or comparable course. For an </w:t>
      </w:r>
      <w:r>
        <w:rPr>
          <w:rFonts w:ascii="Arial" w:hAnsi="Arial" w:cs="Arial"/>
          <w:b/>
          <w:bCs/>
        </w:rPr>
        <w:t xml:space="preserve">elective </w:t>
      </w:r>
      <w:r>
        <w:rPr>
          <w:rFonts w:ascii="Arial" w:hAnsi="Arial" w:cs="Arial"/>
        </w:rPr>
        <w:t xml:space="preserve">course, students may replace a grade of </w:t>
      </w:r>
      <w:r>
        <w:rPr>
          <w:rFonts w:ascii="Arial" w:hAnsi="Arial" w:cs="Arial"/>
          <w:b/>
          <w:bCs/>
        </w:rPr>
        <w:t>D, F,</w:t>
      </w:r>
      <w:r>
        <w:rPr>
          <w:rFonts w:ascii="Arial" w:hAnsi="Arial" w:cs="Arial"/>
        </w:rPr>
        <w:t xml:space="preserve"> or </w:t>
      </w:r>
      <w:r>
        <w:rPr>
          <w:rFonts w:ascii="Arial" w:hAnsi="Arial" w:cs="Arial"/>
          <w:b/>
          <w:bCs/>
        </w:rPr>
        <w:t>I</w:t>
      </w:r>
      <w:r>
        <w:rPr>
          <w:rFonts w:ascii="Arial" w:hAnsi="Arial" w:cs="Arial"/>
        </w:rPr>
        <w:t xml:space="preserve">, if they earn a grade of </w:t>
      </w:r>
      <w:r>
        <w:rPr>
          <w:rFonts w:ascii="Arial" w:hAnsi="Arial" w:cs="Arial"/>
          <w:b/>
          <w:bCs/>
        </w:rPr>
        <w:t>C</w:t>
      </w:r>
      <w:r>
        <w:rPr>
          <w:rFonts w:ascii="Arial" w:hAnsi="Arial" w:cs="Arial"/>
        </w:rPr>
        <w:t xml:space="preserve"> or better in the same, a comparable course, or in another course. This can be done one time only. </w:t>
      </w:r>
    </w:p>
    <w:p w:rsidR="00E222C3" w:rsidRDefault="00E222C3" w:rsidP="00E222C3">
      <w:pPr>
        <w:pStyle w:val="Subheading"/>
        <w:jc w:val="left"/>
      </w:pPr>
    </w:p>
    <w:p w:rsidR="00B04982" w:rsidRDefault="00B04982"/>
    <w:sectPr w:rsidR="00B04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DKIA E+ 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57A5F1E"/>
    <w:lvl w:ilvl="0">
      <w:start w:val="1"/>
      <w:numFmt w:val="decimal"/>
      <w:pStyle w:val="ListNumber2"/>
      <w:lvlText w:val="%1."/>
      <w:lvlJc w:val="left"/>
      <w:pPr>
        <w:tabs>
          <w:tab w:val="num" w:pos="720"/>
        </w:tabs>
        <w:ind w:left="720" w:hanging="360"/>
      </w:pPr>
    </w:lvl>
  </w:abstractNum>
  <w:abstractNum w:abstractNumId="1">
    <w:nsid w:val="01C45BE3"/>
    <w:multiLevelType w:val="hybridMultilevel"/>
    <w:tmpl w:val="CC8E1740"/>
    <w:lvl w:ilvl="0" w:tplc="86A8705A">
      <w:start w:val="1"/>
      <w:numFmt w:val="bullet"/>
      <w:pStyle w:val="Body"/>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C3"/>
    <w:rsid w:val="00B04982"/>
    <w:rsid w:val="00E2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D0D7B-E44C-462A-9F05-3E6E2B08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222C3"/>
    <w:pPr>
      <w:widowControl w:val="0"/>
      <w:autoSpaceDE w:val="0"/>
      <w:autoSpaceDN w:val="0"/>
      <w:adjustRightInd w:val="0"/>
      <w:spacing w:after="0" w:line="240" w:lineRule="auto"/>
    </w:pPr>
    <w:rPr>
      <w:rFonts w:ascii="CDKIA E+ Arial MT" w:eastAsia="Times New Roman" w:hAnsi="CDKIA E+ Arial MT" w:cs="CDKIA E+ Arial MT"/>
      <w:color w:val="000000"/>
      <w:sz w:val="24"/>
      <w:szCs w:val="24"/>
    </w:rPr>
  </w:style>
  <w:style w:type="paragraph" w:customStyle="1" w:styleId="CM61">
    <w:name w:val="CM61"/>
    <w:basedOn w:val="Default"/>
    <w:next w:val="Default"/>
    <w:rsid w:val="00E222C3"/>
    <w:pPr>
      <w:spacing w:after="293"/>
    </w:pPr>
    <w:rPr>
      <w:color w:val="auto"/>
    </w:rPr>
  </w:style>
  <w:style w:type="paragraph" w:customStyle="1" w:styleId="CM63">
    <w:name w:val="CM63"/>
    <w:basedOn w:val="Default"/>
    <w:next w:val="Default"/>
    <w:rsid w:val="00E222C3"/>
    <w:pPr>
      <w:spacing w:after="403"/>
    </w:pPr>
    <w:rPr>
      <w:color w:val="auto"/>
    </w:rPr>
  </w:style>
  <w:style w:type="paragraph" w:customStyle="1" w:styleId="CM62">
    <w:name w:val="CM62"/>
    <w:basedOn w:val="Default"/>
    <w:next w:val="Default"/>
    <w:rsid w:val="00E222C3"/>
    <w:pPr>
      <w:spacing w:after="565"/>
    </w:pPr>
    <w:rPr>
      <w:color w:val="auto"/>
    </w:rPr>
  </w:style>
  <w:style w:type="paragraph" w:customStyle="1" w:styleId="CM19">
    <w:name w:val="CM19"/>
    <w:basedOn w:val="Default"/>
    <w:next w:val="Default"/>
    <w:rsid w:val="00E222C3"/>
    <w:pPr>
      <w:spacing w:line="288" w:lineRule="atLeast"/>
    </w:pPr>
    <w:rPr>
      <w:color w:val="auto"/>
    </w:rPr>
  </w:style>
  <w:style w:type="character" w:customStyle="1" w:styleId="DefaultChar">
    <w:name w:val="Default Char"/>
    <w:link w:val="Default"/>
    <w:locked/>
    <w:rsid w:val="00E222C3"/>
    <w:rPr>
      <w:rFonts w:ascii="CDKIA E+ Arial MT" w:eastAsia="Times New Roman" w:hAnsi="CDKIA E+ Arial MT" w:cs="CDKIA E+ Arial MT"/>
      <w:color w:val="000000"/>
      <w:sz w:val="24"/>
      <w:szCs w:val="24"/>
    </w:rPr>
  </w:style>
  <w:style w:type="character" w:customStyle="1" w:styleId="SubheadingChar">
    <w:name w:val="Subheading Char"/>
    <w:link w:val="Subheading"/>
    <w:locked/>
    <w:rsid w:val="00E222C3"/>
    <w:rPr>
      <w:rFonts w:ascii="CDKIA E+ Arial MT" w:hAnsi="CDKIA E+ Arial MT" w:cs="CDKIA E+ Arial MT"/>
      <w:b/>
      <w:bCs/>
      <w:color w:val="FF6600"/>
      <w:sz w:val="24"/>
      <w:szCs w:val="24"/>
    </w:rPr>
  </w:style>
  <w:style w:type="character" w:customStyle="1" w:styleId="BodyChar">
    <w:name w:val="Body Char"/>
    <w:link w:val="Body"/>
    <w:locked/>
    <w:rsid w:val="00E222C3"/>
    <w:rPr>
      <w:rFonts w:ascii="Arial" w:hAnsi="Arial" w:cs="Arial"/>
      <w:color w:val="214281"/>
      <w:sz w:val="24"/>
      <w:szCs w:val="24"/>
    </w:rPr>
  </w:style>
  <w:style w:type="paragraph" w:customStyle="1" w:styleId="Subheading">
    <w:name w:val="Subheading"/>
    <w:basedOn w:val="Default"/>
    <w:link w:val="SubheadingChar"/>
    <w:rsid w:val="00E222C3"/>
    <w:pPr>
      <w:jc w:val="center"/>
    </w:pPr>
    <w:rPr>
      <w:rFonts w:eastAsiaTheme="minorHAnsi"/>
      <w:b/>
      <w:bCs/>
      <w:color w:val="FF6600"/>
    </w:rPr>
  </w:style>
  <w:style w:type="paragraph" w:customStyle="1" w:styleId="Body">
    <w:name w:val="Body"/>
    <w:basedOn w:val="Default"/>
    <w:link w:val="BodyChar"/>
    <w:rsid w:val="00E222C3"/>
    <w:pPr>
      <w:numPr>
        <w:numId w:val="1"/>
      </w:numPr>
      <w:jc w:val="both"/>
    </w:pPr>
    <w:rPr>
      <w:rFonts w:ascii="Arial" w:eastAsiaTheme="minorHAnsi" w:hAnsi="Arial" w:cs="Arial"/>
      <w:color w:val="214281"/>
    </w:rPr>
  </w:style>
  <w:style w:type="paragraph" w:styleId="ListNumber2">
    <w:name w:val="List Number 2"/>
    <w:basedOn w:val="Normal"/>
    <w:rsid w:val="00E222C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 Terry-Thurston</dc:creator>
  <cp:keywords/>
  <dc:description/>
  <cp:lastModifiedBy>Alice M. Terry-Thurston</cp:lastModifiedBy>
  <cp:revision>1</cp:revision>
  <dcterms:created xsi:type="dcterms:W3CDTF">2016-03-02T21:15:00Z</dcterms:created>
  <dcterms:modified xsi:type="dcterms:W3CDTF">2016-03-02T21:16:00Z</dcterms:modified>
</cp:coreProperties>
</file>