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34"/>
        <w:gridCol w:w="2876"/>
        <w:gridCol w:w="3334"/>
        <w:gridCol w:w="412"/>
        <w:gridCol w:w="1610"/>
        <w:gridCol w:w="2724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C02659A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proofErr w:type="gramStart"/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742016">
              <w:rPr>
                <w:rFonts w:ascii="Century Gothic" w:hAnsi="Century Gothic"/>
                <w:sz w:val="24"/>
                <w:szCs w:val="24"/>
              </w:rPr>
              <w:t>Bennett</w:t>
            </w:r>
            <w:proofErr w:type="spellEnd"/>
            <w:proofErr w:type="gramEnd"/>
            <w:r w:rsidR="00742016">
              <w:rPr>
                <w:rFonts w:ascii="Century Gothic" w:hAnsi="Century Gothic"/>
                <w:sz w:val="24"/>
                <w:szCs w:val="24"/>
              </w:rPr>
              <w:t xml:space="preserve"> Elementary School</w:t>
            </w:r>
          </w:p>
        </w:tc>
        <w:tc>
          <w:tcPr>
            <w:tcW w:w="4703" w:type="dxa"/>
            <w:gridSpan w:val="2"/>
          </w:tcPr>
          <w:p w14:paraId="42A7A2A1" w14:textId="74051AF9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742016">
              <w:rPr>
                <w:rFonts w:ascii="Century Gothic" w:hAnsi="Century Gothic"/>
                <w:b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2F3298D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proofErr w:type="gramStart"/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742016">
              <w:rPr>
                <w:rFonts w:ascii="Century Gothic" w:hAnsi="Century Gothic"/>
                <w:b/>
                <w:sz w:val="24"/>
                <w:szCs w:val="24"/>
              </w:rPr>
              <w:t>Danielle</w:t>
            </w:r>
            <w:proofErr w:type="spellEnd"/>
            <w:proofErr w:type="gramEnd"/>
            <w:r w:rsidR="00742016">
              <w:rPr>
                <w:rFonts w:ascii="Century Gothic" w:hAnsi="Century Gothic"/>
                <w:b/>
                <w:sz w:val="24"/>
                <w:szCs w:val="24"/>
              </w:rPr>
              <w:t xml:space="preserve"> Smith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4D65B96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Cadre </w:t>
            </w:r>
            <w:proofErr w:type="spellStart"/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Director:</w:t>
            </w:r>
            <w:r w:rsidR="00742016">
              <w:rPr>
                <w:rFonts w:ascii="Century Gothic" w:hAnsi="Century Gothic"/>
                <w:b/>
                <w:sz w:val="24"/>
                <w:szCs w:val="24"/>
              </w:rPr>
              <w:t>Mark</w:t>
            </w:r>
            <w:proofErr w:type="spellEnd"/>
            <w:proofErr w:type="gramEnd"/>
            <w:r w:rsidR="00742016">
              <w:rPr>
                <w:rFonts w:ascii="Century Gothic" w:hAnsi="Century Gothic"/>
                <w:b/>
                <w:sz w:val="24"/>
                <w:szCs w:val="24"/>
              </w:rPr>
              <w:t xml:space="preserve"> Strauss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4AF6316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 Bennett is committed to educating all students to reach their highest potential.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62068521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BA4A08">
              <w:rPr>
                <w:rFonts w:ascii="Century Gothic" w:hAnsi="Century Gothic"/>
                <w:szCs w:val="24"/>
              </w:rPr>
              <w:t xml:space="preserve"> Educating todays students to succeed in tomorrow’s world.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E16BB5D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>Amy Rubin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6B3785B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         Dr. Tiffany </w:t>
            </w:r>
            <w:proofErr w:type="spellStart"/>
            <w:r w:rsidR="00BA4A08">
              <w:rPr>
                <w:rFonts w:ascii="Century Gothic" w:hAnsi="Century Gothic"/>
                <w:b/>
                <w:sz w:val="24"/>
                <w:szCs w:val="24"/>
              </w:rPr>
              <w:t>McCahill</w:t>
            </w:r>
            <w:proofErr w:type="spellEnd"/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40367C7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         Principal Danielle Smith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261CB7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         Assistant Principal </w:t>
            </w:r>
            <w:proofErr w:type="spellStart"/>
            <w:r w:rsidR="00BA4A08">
              <w:rPr>
                <w:rFonts w:ascii="Century Gothic" w:hAnsi="Century Gothic"/>
                <w:b/>
                <w:sz w:val="24"/>
                <w:szCs w:val="24"/>
              </w:rPr>
              <w:t>MiMi</w:t>
            </w:r>
            <w:proofErr w:type="spellEnd"/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Jensen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2E01787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         </w:t>
            </w:r>
            <w:proofErr w:type="spellStart"/>
            <w:r w:rsidR="00BA4A08">
              <w:rPr>
                <w:rFonts w:ascii="Century Gothic" w:hAnsi="Century Gothic"/>
                <w:b/>
                <w:sz w:val="24"/>
                <w:szCs w:val="24"/>
              </w:rPr>
              <w:t>Tranya</w:t>
            </w:r>
            <w:proofErr w:type="spellEnd"/>
            <w:r w:rsidR="00BA4A08">
              <w:rPr>
                <w:rFonts w:ascii="Century Gothic" w:hAnsi="Century Gothic"/>
                <w:b/>
                <w:sz w:val="24"/>
                <w:szCs w:val="24"/>
              </w:rPr>
              <w:t xml:space="preserve"> Curry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83577D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742016">
              <w:rPr>
                <w:rFonts w:ascii="Century Gothic" w:hAnsi="Century Gothic"/>
                <w:b/>
                <w:sz w:val="24"/>
              </w:rPr>
              <w:t xml:space="preserve"> Sanford Harmony/ Sandy Hook Promise</w:t>
            </w:r>
          </w:p>
          <w:p w14:paraId="3267E130" w14:textId="11BEB19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742016">
              <w:rPr>
                <w:rFonts w:ascii="Century Gothic" w:hAnsi="Century Gothic"/>
                <w:b/>
                <w:sz w:val="24"/>
              </w:rPr>
              <w:t xml:space="preserve"> Classroom Guidance lessons</w:t>
            </w:r>
          </w:p>
          <w:p w14:paraId="0EBC7CD2" w14:textId="0043A67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742016">
              <w:rPr>
                <w:rFonts w:ascii="Century Gothic" w:hAnsi="Century Gothic"/>
                <w:b/>
                <w:sz w:val="24"/>
              </w:rPr>
              <w:t xml:space="preserve"> Kids of Character</w:t>
            </w:r>
          </w:p>
          <w:p w14:paraId="48B92E00" w14:textId="71D1862B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742016">
              <w:rPr>
                <w:rFonts w:ascii="Century Gothic" w:hAnsi="Century Gothic"/>
                <w:b/>
                <w:sz w:val="24"/>
              </w:rPr>
              <w:t xml:space="preserve"> School Wide Expectations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BB0A9AD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36A434B" w14:textId="40FCEA43" w:rsidR="00742016" w:rsidRDefault="0074201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 Teachers implement behavior charts developed in conjunction with our school wide expectations.</w:t>
                  </w:r>
                </w:p>
                <w:p w14:paraId="62D3BD24" w14:textId="77777777" w:rsidR="00742016" w:rsidRDefault="0074201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2:  Specific student are put on a behavior chart to determine the</w:t>
                  </w:r>
                </w:p>
                <w:p w14:paraId="2AB27132" w14:textId="77777777" w:rsidR="00742016" w:rsidRDefault="0074201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Frequency of specific behaviors.</w:t>
                  </w:r>
                </w:p>
                <w:p w14:paraId="41B3EA26" w14:textId="1DEE1155" w:rsidR="00742016" w:rsidRPr="005C76BB" w:rsidRDefault="0074201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Tier 3:  Counseling services are available for ESE students whose IEP determines or for general education students through partnerships with outside counseling services. 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2F6FCFB1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4201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F7F8966" w14:textId="25839A71" w:rsidR="00742016" w:rsidRDefault="0074201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  We have students recognized for character traits on morning an</w:t>
                  </w:r>
                  <w:r w:rsidR="00A01355">
                    <w:rPr>
                      <w:rFonts w:ascii="Century Gothic" w:hAnsi="Century Gothic"/>
                      <w:b/>
                      <w:sz w:val="24"/>
                    </w:rPr>
                    <w:t>nouncements while the School Counselor explains them.  Teachers also teach lessons the correspond with the traits.  We also have quarterly recognition celebrations for on task behavior.</w:t>
                  </w:r>
                </w:p>
                <w:p w14:paraId="44C89ECB" w14:textId="5F809EFF" w:rsidR="00A01355" w:rsidRDefault="00A01355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6080E4" w14:textId="4F676628" w:rsidR="00A01355" w:rsidRPr="005C76BB" w:rsidRDefault="00A01355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Tier 2/3:  We have partnerships with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4"/>
                    </w:rPr>
                    <w:t>Chysalis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and Active Health agencies to provide services to students and families who require intensive emotional assistance.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4CC6DFC7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483A791" w14:textId="6DE94FCB" w:rsidR="00A01355" w:rsidRPr="005C76BB" w:rsidRDefault="00A01355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 We have quarterly honor roll recognition for academic achievement.  We have incentives on a weekly basis for academic achievements in math and reading during lunch in the cafeteria.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2AA71B94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67D9C7EB" w14:textId="6C6C1466" w:rsidR="00A01355" w:rsidRPr="005C76BB" w:rsidRDefault="00A01355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  Teachers conduct morning meetings utilizing the Sanford Harmony Kits.  We also utilize Start with Hello, Peace Week, Red Ribbon Week, Anti-bullying week, The Harvest Drive, and Pro-Social groups.  We also have mix it up at lunch once a month and the BEST club which is general education students who have IND buddies.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61BE34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01355">
                    <w:rPr>
                      <w:rFonts w:ascii="Century Gothic" w:hAnsi="Century Gothic"/>
                      <w:b/>
                      <w:sz w:val="24"/>
                    </w:rPr>
                    <w:t xml:space="preserve">  General Education students are paired with students with disabilities to </w:t>
                  </w:r>
                  <w:r w:rsidR="003C1A2C">
                    <w:rPr>
                      <w:rFonts w:ascii="Century Gothic" w:hAnsi="Century Gothic"/>
                      <w:b/>
                      <w:sz w:val="24"/>
                    </w:rPr>
                    <w:t>develop empathy.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5FFDF1D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C1A2C">
                    <w:rPr>
                      <w:rFonts w:ascii="Century Gothic" w:hAnsi="Century Gothic"/>
                      <w:b/>
                      <w:sz w:val="24"/>
                    </w:rPr>
                    <w:t xml:space="preserve">  Morning meetings utilizing Sanford Harmony kits.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F53ED2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C1A2C">
                    <w:rPr>
                      <w:rFonts w:ascii="Century Gothic" w:hAnsi="Century Gothic"/>
                      <w:b/>
                      <w:sz w:val="24"/>
                    </w:rPr>
                    <w:t xml:space="preserve"> The School Counselor has small group lessons utilizing conflict mediation curriculum.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407263C" w14:textId="3152A82F" w:rsidR="003C1A2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C1A2C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</w:p>
                <w:p w14:paraId="4B0AEB7D" w14:textId="4E55FC01" w:rsidR="003C1A2C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</w:t>
                  </w:r>
                </w:p>
                <w:p w14:paraId="7EBEF808" w14:textId="53B1829C" w:rsidR="00C35246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During morning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</w:rPr>
                    <w:t>meetings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the teacher checks in with the student’s social emotional needs.</w:t>
                  </w:r>
                </w:p>
                <w:p w14:paraId="5BEC891D" w14:textId="1C5513B3" w:rsidR="003C1A2C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6E17EAA" w14:textId="46BB9FEA" w:rsidR="003C1A2C" w:rsidRPr="005C76BB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9D15F46" w14:textId="77777777" w:rsidR="003C1A2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C1A2C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</w:p>
                <w:p w14:paraId="549A885F" w14:textId="4DCA811C" w:rsidR="003C1A2C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</w:t>
                  </w:r>
                </w:p>
                <w:p w14:paraId="56F787AD" w14:textId="0040E4EA" w:rsidR="00C35246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We recognize students at quarterly for honor roll and weekly for academic success in math and reading.</w:t>
                  </w:r>
                </w:p>
                <w:p w14:paraId="6422BCC6" w14:textId="77777777" w:rsidR="003C1A2C" w:rsidRPr="005C76BB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6CC7FAFE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EF4CAB9" w14:textId="558CDA92" w:rsidR="003C1A2C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Tier 1:  Community building activities done in the classroom by the teacher.</w:t>
                  </w:r>
                </w:p>
                <w:p w14:paraId="4C08D6D2" w14:textId="22529054" w:rsidR="00C35246" w:rsidRPr="005C76BB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Pro Social groups:  Start with Hello, BEST, peer readers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3C1A2C" w:rsidRPr="005C76BB" w14:paraId="1F1436C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B4A2504" w14:textId="77777777" w:rsidR="003C1A2C" w:rsidRPr="005C76BB" w:rsidRDefault="003C1A2C" w:rsidP="00C35246">
                  <w:pPr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67AC63F" w14:textId="77777777" w:rsidR="003C1A2C" w:rsidRPr="005C76BB" w:rsidRDefault="003C1A2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0AAEC77F" w:rsidR="00C35246" w:rsidRDefault="00BA4A0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Students feel comfortable with their peers, teachers and administrators.  They feel safe and included in our school community.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162F4DF0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 Training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4518715D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Amy Rubin</w:t>
            </w:r>
          </w:p>
        </w:tc>
        <w:tc>
          <w:tcPr>
            <w:tcW w:w="3332" w:type="dxa"/>
          </w:tcPr>
          <w:p w14:paraId="0CE22728" w14:textId="299543A9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Powerpoint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from training</w:t>
            </w:r>
          </w:p>
        </w:tc>
        <w:tc>
          <w:tcPr>
            <w:tcW w:w="2940" w:type="dxa"/>
            <w:gridSpan w:val="2"/>
          </w:tcPr>
          <w:p w14:paraId="5B04DEF5" w14:textId="68912A0F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from training</w:t>
            </w:r>
          </w:p>
        </w:tc>
        <w:tc>
          <w:tcPr>
            <w:tcW w:w="2357" w:type="dxa"/>
          </w:tcPr>
          <w:p w14:paraId="64EA3B07" w14:textId="13F01717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09/18/2018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4B0E5D10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Sandford Harmony Training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4711D5A9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Amy Rubin</w:t>
            </w:r>
          </w:p>
        </w:tc>
        <w:tc>
          <w:tcPr>
            <w:tcW w:w="3332" w:type="dxa"/>
          </w:tcPr>
          <w:p w14:paraId="741CE49B" w14:textId="03706DC3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Kits</w:t>
            </w:r>
          </w:p>
        </w:tc>
        <w:tc>
          <w:tcPr>
            <w:tcW w:w="2940" w:type="dxa"/>
            <w:gridSpan w:val="2"/>
          </w:tcPr>
          <w:p w14:paraId="137AFAE2" w14:textId="64D8632D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Every team Implements an SEL activity at </w:t>
            </w:r>
            <w:r>
              <w:rPr>
                <w:rFonts w:ascii="Century Gothic" w:hAnsi="Century Gothic"/>
                <w:sz w:val="24"/>
              </w:rPr>
              <w:lastRenderedPageBreak/>
              <w:t>faculty meetings.</w:t>
            </w:r>
          </w:p>
        </w:tc>
        <w:tc>
          <w:tcPr>
            <w:tcW w:w="2357" w:type="dxa"/>
          </w:tcPr>
          <w:p w14:paraId="6FF76B38" w14:textId="2ECF3B8A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Ongoing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5403C514" w:rsidR="005C76BB" w:rsidRPr="005C76BB" w:rsidRDefault="0084147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SEL trainings for teachers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271A8767" w:rsidR="005C76BB" w:rsidRPr="005C76BB" w:rsidRDefault="0084147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Instructional staff members</w:t>
            </w:r>
          </w:p>
        </w:tc>
        <w:tc>
          <w:tcPr>
            <w:tcW w:w="3332" w:type="dxa"/>
          </w:tcPr>
          <w:p w14:paraId="514CC7C4" w14:textId="59CADC44" w:rsidR="005C76BB" w:rsidRPr="005C76BB" w:rsidRDefault="0084147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My Leaning plan</w:t>
            </w:r>
          </w:p>
        </w:tc>
        <w:tc>
          <w:tcPr>
            <w:tcW w:w="2940" w:type="dxa"/>
            <w:gridSpan w:val="2"/>
          </w:tcPr>
          <w:p w14:paraId="09989D4C" w14:textId="6FC54E1D" w:rsidR="005C76BB" w:rsidRPr="005C76BB" w:rsidRDefault="0084147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 Service Points</w:t>
            </w:r>
          </w:p>
        </w:tc>
        <w:tc>
          <w:tcPr>
            <w:tcW w:w="2357" w:type="dxa"/>
          </w:tcPr>
          <w:p w14:paraId="3ED72016" w14:textId="4A21066F" w:rsidR="005C76BB" w:rsidRPr="005C76BB" w:rsidRDefault="0084147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Completion of follow-up assignments</w:t>
            </w:r>
            <w:bookmarkStart w:id="0" w:name="_GoBack"/>
            <w:bookmarkEnd w:id="0"/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3754BBA3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Referrals</w:t>
            </w:r>
          </w:p>
        </w:tc>
        <w:tc>
          <w:tcPr>
            <w:tcW w:w="2333" w:type="dxa"/>
          </w:tcPr>
          <w:p w14:paraId="22A04D76" w14:textId="61C6D648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332" w:type="dxa"/>
          </w:tcPr>
          <w:p w14:paraId="7AC878B6" w14:textId="036DB2AB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18413B9F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dates</w:t>
            </w:r>
          </w:p>
        </w:tc>
        <w:tc>
          <w:tcPr>
            <w:tcW w:w="2357" w:type="dxa"/>
          </w:tcPr>
          <w:p w14:paraId="630E6241" w14:textId="65927D11" w:rsidR="005C76BB" w:rsidRPr="005C76BB" w:rsidRDefault="00BA4A0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2425C7B" w:rsidR="00AA52FA" w:rsidRPr="005C76BB" w:rsidRDefault="00BA4A0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32BD5850" w:rsidR="00AA52FA" w:rsidRPr="005C76BB" w:rsidRDefault="00BA4A0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Assistant Principal and Social Worker</w:t>
            </w:r>
          </w:p>
        </w:tc>
        <w:tc>
          <w:tcPr>
            <w:tcW w:w="3332" w:type="dxa"/>
          </w:tcPr>
          <w:p w14:paraId="0BFDFAAB" w14:textId="0B581ACE" w:rsidR="00AA52FA" w:rsidRPr="005C76BB" w:rsidRDefault="00BA4A0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TERMS and PINNACLE</w:t>
            </w:r>
          </w:p>
        </w:tc>
        <w:tc>
          <w:tcPr>
            <w:tcW w:w="2940" w:type="dxa"/>
            <w:gridSpan w:val="2"/>
          </w:tcPr>
          <w:p w14:paraId="29861ABC" w14:textId="24443EE1" w:rsidR="00AA52FA" w:rsidRPr="005C76BB" w:rsidRDefault="00BA4A0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Parent Conferences</w:t>
            </w:r>
          </w:p>
        </w:tc>
        <w:tc>
          <w:tcPr>
            <w:tcW w:w="2357" w:type="dxa"/>
          </w:tcPr>
          <w:p w14:paraId="18BC6302" w14:textId="5D7EAFF0" w:rsidR="00AA52FA" w:rsidRPr="005C76BB" w:rsidRDefault="00BA4A08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Ongoing.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5D3A" w14:textId="77777777" w:rsidR="00EE1059" w:rsidRDefault="00EE1059" w:rsidP="0036007A">
      <w:pPr>
        <w:spacing w:after="0" w:line="240" w:lineRule="auto"/>
      </w:pPr>
      <w:r>
        <w:separator/>
      </w:r>
    </w:p>
  </w:endnote>
  <w:endnote w:type="continuationSeparator" w:id="0">
    <w:p w14:paraId="5472FB0E" w14:textId="77777777" w:rsidR="00EE1059" w:rsidRDefault="00EE1059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0E6D4" w14:textId="77777777" w:rsidR="00EE1059" w:rsidRDefault="00EE1059" w:rsidP="0036007A">
      <w:pPr>
        <w:spacing w:after="0" w:line="240" w:lineRule="auto"/>
      </w:pPr>
      <w:r>
        <w:separator/>
      </w:r>
    </w:p>
  </w:footnote>
  <w:footnote w:type="continuationSeparator" w:id="0">
    <w:p w14:paraId="4520EF11" w14:textId="77777777" w:rsidR="00EE1059" w:rsidRDefault="00EE1059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40C8A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C1A2C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2016"/>
    <w:rsid w:val="00745ADA"/>
    <w:rsid w:val="007A6C10"/>
    <w:rsid w:val="007B56BB"/>
    <w:rsid w:val="007F089F"/>
    <w:rsid w:val="00836712"/>
    <w:rsid w:val="00841475"/>
    <w:rsid w:val="008A7C44"/>
    <w:rsid w:val="008C6498"/>
    <w:rsid w:val="008F509E"/>
    <w:rsid w:val="008F7257"/>
    <w:rsid w:val="009670E2"/>
    <w:rsid w:val="00973C30"/>
    <w:rsid w:val="009770CA"/>
    <w:rsid w:val="009E702B"/>
    <w:rsid w:val="009F78E1"/>
    <w:rsid w:val="00A01355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A4A08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1059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5564B585-43B4-4A35-B5AD-09535634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7C30-AE1D-4EC3-B012-740BFD1A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Rebeca I. Morgado</cp:lastModifiedBy>
  <cp:revision>4</cp:revision>
  <cp:lastPrinted>2018-08-07T18:12:00Z</cp:lastPrinted>
  <dcterms:created xsi:type="dcterms:W3CDTF">2018-10-18T17:53:00Z</dcterms:created>
  <dcterms:modified xsi:type="dcterms:W3CDTF">2018-10-18T18:38:00Z</dcterms:modified>
</cp:coreProperties>
</file>